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6A70A6">
      <w:pPr>
        <w:pStyle w:val="Nadpis2"/>
        <w:rPr>
          <w:rFonts w:eastAsia="Times New Roman"/>
        </w:rPr>
      </w:pPr>
      <w:bookmarkStart w:id="0" w:name="_Toc442200546"/>
      <w:bookmarkStart w:id="1" w:name="_GoBack"/>
      <w:bookmarkEnd w:id="1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14ABFF73" w:rsidR="00B40C3D" w:rsidRPr="00B40C3D" w:rsidRDefault="00F63D19" w:rsidP="006A70A6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822B52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822B52">
        <w:rPr>
          <w:rFonts w:eastAsia="Times New Roman"/>
        </w:rPr>
        <w:t>i</w:t>
      </w:r>
      <w:r>
        <w:rPr>
          <w:rFonts w:eastAsia="Times New Roman"/>
        </w:rPr>
        <w:t xml:space="preserve"> žadatele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884B3A" w:rsidRPr="00C44F6D" w14:paraId="2717ACCF" w14:textId="77777777" w:rsidTr="008305A2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8305A2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84E7276" w14:textId="53B8CD1E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Pr="008305A2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1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37BA088D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F52DE2">
              <w:rPr>
                <w:rStyle w:val="Znakapoznpodarou"/>
                <w:b/>
              </w:rPr>
              <w:footnoteReference w:id="2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7079AFEA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F52DE2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77777777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4E337CEC" w14:textId="38688911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="00C218CB" w:rsidRPr="00C218CB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Default="00F63D19" w:rsidP="00F63D19">
      <w:pPr>
        <w:rPr>
          <w:b/>
        </w:rPr>
      </w:pPr>
    </w:p>
    <w:p w14:paraId="6DF484AB" w14:textId="77777777" w:rsidR="00050A55" w:rsidRPr="00F63D19" w:rsidRDefault="00050A55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52788324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Bezdlužnost</w:t>
            </w:r>
            <w:r w:rsidR="00F52DE2"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2643710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F52DE2"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p w14:paraId="24C9907D" w14:textId="5395AFC3" w:rsidR="00EC2C97" w:rsidRPr="00BC41BC" w:rsidRDefault="00EC2C97" w:rsidP="005F40F0"/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631E0" w14:textId="77777777" w:rsidR="0051567C" w:rsidRDefault="0051567C" w:rsidP="003E5669">
      <w:pPr>
        <w:spacing w:after="0" w:line="240" w:lineRule="auto"/>
      </w:pPr>
      <w:r>
        <w:separator/>
      </w:r>
    </w:p>
  </w:endnote>
  <w:endnote w:type="continuationSeparator" w:id="0">
    <w:p w14:paraId="3C8C9627" w14:textId="77777777" w:rsidR="0051567C" w:rsidRDefault="0051567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F45F88">
          <w:rPr>
            <w:noProof/>
          </w:rPr>
          <w:t>2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EFCB2" w14:textId="77777777" w:rsidR="0051567C" w:rsidRDefault="0051567C" w:rsidP="003E5669">
      <w:pPr>
        <w:spacing w:after="0" w:line="240" w:lineRule="auto"/>
      </w:pPr>
      <w:r>
        <w:separator/>
      </w:r>
    </w:p>
  </w:footnote>
  <w:footnote w:type="continuationSeparator" w:id="0">
    <w:p w14:paraId="5E4D383D" w14:textId="77777777" w:rsidR="0051567C" w:rsidRDefault="0051567C" w:rsidP="003E5669">
      <w:pPr>
        <w:spacing w:after="0" w:line="240" w:lineRule="auto"/>
      </w:pPr>
      <w:r>
        <w:continuationSeparator/>
      </w:r>
    </w:p>
  </w:footnote>
  <w:footnote w:id="1">
    <w:p w14:paraId="1A9E31D7" w14:textId="6D6154A3" w:rsidR="00F63D19" w:rsidRPr="00F63D19" w:rsidRDefault="00F63D19" w:rsidP="00F63D19">
      <w:pPr>
        <w:pStyle w:val="Textpoznpodarou"/>
        <w:rPr>
          <w:lang w:val="cs-CZ"/>
        </w:rPr>
      </w:pPr>
      <w:r w:rsidRPr="004F744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F7446">
        <w:rPr>
          <w:rFonts w:asciiTheme="minorHAnsi" w:hAnsiTheme="minorHAnsi" w:cstheme="minorHAnsi"/>
          <w:sz w:val="16"/>
          <w:szCs w:val="16"/>
        </w:rPr>
        <w:t xml:space="preserve"> </w:t>
      </w:r>
      <w:r w:rsidRPr="0035562D">
        <w:rPr>
          <w:rFonts w:asciiTheme="minorHAnsi" w:hAnsiTheme="minorHAnsi" w:cstheme="minorHAnsi"/>
          <w:sz w:val="16"/>
          <w:szCs w:val="16"/>
        </w:rPr>
        <w:t xml:space="preserve">Žadatel zaškrtne pouze </w:t>
      </w:r>
      <w:r w:rsidRPr="004F7446">
        <w:rPr>
          <w:rFonts w:asciiTheme="minorHAnsi" w:hAnsiTheme="minorHAnsi" w:cstheme="minorHAnsi"/>
          <w:sz w:val="16"/>
          <w:szCs w:val="16"/>
        </w:rPr>
        <w:t>relevantní</w:t>
      </w:r>
      <w:r w:rsidRPr="0035562D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2">
    <w:p w14:paraId="76E6ED19" w14:textId="5412116F" w:rsidR="00F52DE2" w:rsidRPr="00F52DE2" w:rsidRDefault="00F52DE2">
      <w:pPr>
        <w:pStyle w:val="Textpoznpodarou"/>
        <w:rPr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neprohlašují OSS, PO OSS, </w:t>
      </w:r>
      <w:r w:rsidR="00EE3D7F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školy a školská zařízení zřizovaná ministerstvy</w:t>
      </w:r>
    </w:p>
  </w:footnote>
  <w:footnote w:id="3">
    <w:p w14:paraId="075E9621" w14:textId="17A6BB4F" w:rsidR="00F52DE2" w:rsidRPr="001768D3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</w:t>
      </w:r>
      <w:r w:rsidR="001768D3">
        <w:rPr>
          <w:rStyle w:val="Znakapoznpodarou"/>
          <w:rFonts w:asciiTheme="minorHAnsi" w:hAnsiTheme="minorHAnsi" w:cstheme="minorHAnsi"/>
          <w:sz w:val="16"/>
          <w:szCs w:val="16"/>
          <w:vertAlign w:val="baseline"/>
          <w:lang w:val="cs-CZ"/>
        </w:rPr>
        <w:t>í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 xml:space="preserve"> pouze PO OSS</w:t>
      </w:r>
      <w:r w:rsidR="001768D3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1768D3" w:rsidRPr="001768D3">
        <w:rPr>
          <w:rFonts w:asciiTheme="minorHAnsi" w:hAnsiTheme="minorHAnsi" w:cstheme="minorHAnsi"/>
          <w:sz w:val="16"/>
          <w:szCs w:val="16"/>
          <w:lang w:val="cs-CZ"/>
        </w:rPr>
        <w:t>a PO územně samosprávných celků</w:t>
      </w:r>
    </w:p>
  </w:footnote>
  <w:footnote w:id="4">
    <w:p w14:paraId="744BEF04" w14:textId="5FF65D3B" w:rsidR="00F52DE2" w:rsidRPr="00F52DE2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</w:t>
      </w:r>
      <w:r w:rsidR="0090106A">
        <w:rPr>
          <w:rFonts w:asciiTheme="minorHAnsi" w:hAnsiTheme="minorHAnsi" w:cstheme="minorHAnsi"/>
          <w:sz w:val="16"/>
          <w:szCs w:val="16"/>
        </w:rPr>
        <w:t xml:space="preserve">neprohlašují OSS, PO OSS, </w:t>
      </w:r>
      <w:r w:rsidR="0090106A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územ. samospráv. celky, PO územ. samospráv. cel</w:t>
      </w:r>
      <w:r>
        <w:rPr>
          <w:rFonts w:asciiTheme="minorHAnsi" w:hAnsiTheme="minorHAnsi" w:cstheme="minorHAnsi"/>
          <w:sz w:val="16"/>
          <w:szCs w:val="16"/>
        </w:rPr>
        <w:t>ků</w:t>
      </w:r>
    </w:p>
  </w:footnote>
  <w:footnote w:id="5">
    <w:p w14:paraId="79A11FD3" w14:textId="74F21B37" w:rsidR="00F52DE2" w:rsidRPr="00721C57" w:rsidRDefault="00F52DE2" w:rsidP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721C5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1C57">
        <w:rPr>
          <w:rFonts w:asciiTheme="minorHAnsi" w:hAnsiTheme="minorHAnsi" w:cstheme="minorHAnsi"/>
          <w:sz w:val="16"/>
          <w:szCs w:val="16"/>
        </w:rPr>
        <w:t xml:space="preserve">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721C57">
        <w:rPr>
          <w:rFonts w:asciiTheme="minorHAnsi" w:hAnsiTheme="minorHAnsi" w:cstheme="minorHAnsi"/>
          <w:sz w:val="16"/>
          <w:szCs w:val="16"/>
          <w:lang w:val="cs-CZ"/>
        </w:rPr>
        <w:t>s</w:t>
      </w:r>
      <w:r w:rsidR="00721C57" w:rsidRPr="00721C57">
        <w:rPr>
          <w:rFonts w:asciiTheme="minorHAnsi" w:hAnsiTheme="minorHAnsi" w:cstheme="minorHAnsi"/>
          <w:sz w:val="16"/>
          <w:szCs w:val="16"/>
        </w:rPr>
        <w:t>tátní</w:t>
      </w:r>
      <w:r w:rsidRPr="00721C57">
        <w:rPr>
          <w:rFonts w:asciiTheme="minorHAnsi" w:hAnsiTheme="minorHAnsi" w:cstheme="minorHAnsi"/>
          <w:sz w:val="16"/>
          <w:szCs w:val="16"/>
        </w:rPr>
        <w:t xml:space="preserve"> vysoké školy;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2B3B"/>
    <w:rsid w:val="00042AD6"/>
    <w:rsid w:val="000454C2"/>
    <w:rsid w:val="00050A55"/>
    <w:rsid w:val="00065393"/>
    <w:rsid w:val="0006776B"/>
    <w:rsid w:val="00097783"/>
    <w:rsid w:val="000B62E9"/>
    <w:rsid w:val="000D4163"/>
    <w:rsid w:val="000E30BE"/>
    <w:rsid w:val="0011721E"/>
    <w:rsid w:val="00127380"/>
    <w:rsid w:val="001768D3"/>
    <w:rsid w:val="001A5E39"/>
    <w:rsid w:val="001E4A51"/>
    <w:rsid w:val="002B678E"/>
    <w:rsid w:val="002E54F0"/>
    <w:rsid w:val="00313D4E"/>
    <w:rsid w:val="00330307"/>
    <w:rsid w:val="003348D0"/>
    <w:rsid w:val="003372A2"/>
    <w:rsid w:val="0035562D"/>
    <w:rsid w:val="003D6FB8"/>
    <w:rsid w:val="003E5669"/>
    <w:rsid w:val="004E4B16"/>
    <w:rsid w:val="004F7446"/>
    <w:rsid w:val="0051567C"/>
    <w:rsid w:val="005A559B"/>
    <w:rsid w:val="005A6C33"/>
    <w:rsid w:val="005A6F6A"/>
    <w:rsid w:val="005C731D"/>
    <w:rsid w:val="005E2A78"/>
    <w:rsid w:val="005F25CF"/>
    <w:rsid w:val="005F40F0"/>
    <w:rsid w:val="00692B1E"/>
    <w:rsid w:val="006A70A6"/>
    <w:rsid w:val="006D0607"/>
    <w:rsid w:val="00721C57"/>
    <w:rsid w:val="00735AB8"/>
    <w:rsid w:val="00756909"/>
    <w:rsid w:val="00790F1F"/>
    <w:rsid w:val="008127AB"/>
    <w:rsid w:val="00822B52"/>
    <w:rsid w:val="008305A2"/>
    <w:rsid w:val="0084594D"/>
    <w:rsid w:val="00866CFC"/>
    <w:rsid w:val="008675C3"/>
    <w:rsid w:val="00884B3A"/>
    <w:rsid w:val="008D532C"/>
    <w:rsid w:val="0090106A"/>
    <w:rsid w:val="00971157"/>
    <w:rsid w:val="009F1BD2"/>
    <w:rsid w:val="009F40E0"/>
    <w:rsid w:val="00A32B38"/>
    <w:rsid w:val="00A36A64"/>
    <w:rsid w:val="00A500D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218CB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D916F5"/>
    <w:rsid w:val="00E676FD"/>
    <w:rsid w:val="00E70B97"/>
    <w:rsid w:val="00EA7354"/>
    <w:rsid w:val="00EB75E7"/>
    <w:rsid w:val="00EC2C97"/>
    <w:rsid w:val="00ED0DE1"/>
    <w:rsid w:val="00EE3D7F"/>
    <w:rsid w:val="00EF0ED1"/>
    <w:rsid w:val="00F06153"/>
    <w:rsid w:val="00F1766B"/>
    <w:rsid w:val="00F45F88"/>
    <w:rsid w:val="00F476FD"/>
    <w:rsid w:val="00F52DE2"/>
    <w:rsid w:val="00F63D19"/>
    <w:rsid w:val="00FA446E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15OPMSMT0001-28-81838</_dlc_DocId>
    <_dlc_DocIdUrl xmlns="0104a4cd-1400-468e-be1b-c7aad71d7d5a">
      <Url>https://op.msmt.cz/_layouts/15/DocIdRedir.aspx?ID=15OPMSMT0001-28-81838</Url>
      <Description>15OPMSMT0001-28-81838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6415C-9BC4-40EE-9533-DF4E927F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Pilčíková Lenka</cp:lastModifiedBy>
  <cp:revision>2</cp:revision>
  <cp:lastPrinted>2016-01-13T14:27:00Z</cp:lastPrinted>
  <dcterms:created xsi:type="dcterms:W3CDTF">2018-02-23T09:06:00Z</dcterms:created>
  <dcterms:modified xsi:type="dcterms:W3CDTF">2018-02-23T09:06:00Z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309d5040-6969-4ab4-b300-6b8f87b293e4</vt:lpwstr>
  </property>
  <property fmtid="{D5CDD505-2E9C-101B-9397-08002B2CF9AE}" pid="4" name="Komentář">
    <vt:lpwstr>předepsané písmo Calibri</vt:lpwstr>
  </property>
</Properties>
</file>