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6CA8D" w14:textId="77777777" w:rsidR="00095943" w:rsidRDefault="00095943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1788A536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61A08E8A" w:rsidR="00211D24" w:rsidRPr="00EB18AC" w:rsidRDefault="008B14F4" w:rsidP="00211D24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Výzva č. 5</w:t>
      </w:r>
      <w:r w:rsidR="00211D24"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0D5187EB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„MAS </w:t>
      </w:r>
      <w:r w:rsidR="00095943">
        <w:rPr>
          <w:rFonts w:ascii="Calibri" w:hAnsi="Calibri" w:cs="Calibri"/>
          <w:b/>
          <w:smallCaps/>
          <w:sz w:val="28"/>
          <w:szCs w:val="28"/>
        </w:rPr>
        <w:t>ŠTERNBERSKO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IROP – </w:t>
      </w:r>
      <w:r w:rsidR="0072105A">
        <w:rPr>
          <w:rFonts w:ascii="Calibri" w:hAnsi="Calibri" w:cs="Calibri"/>
          <w:b/>
          <w:smallCaps/>
          <w:sz w:val="28"/>
          <w:szCs w:val="28"/>
        </w:rPr>
        <w:t>VEŘEJNÁ PROSTRANSTVÍ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7D5ABA31" w14:textId="7F6E7214" w:rsidR="00211D24" w:rsidRPr="00EB18AC" w:rsidRDefault="0072105A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>
        <w:rPr>
          <w:rFonts w:ascii="Calibri" w:hAnsi="Calibri" w:cs="Calibri"/>
          <w:b/>
          <w:smallCaps/>
          <w:sz w:val="28"/>
          <w:szCs w:val="28"/>
        </w:rPr>
        <w:t>Vazba na výzvu ŘO IROP: 73. Výzva IROP – Veřejná prostranství</w:t>
      </w:r>
      <w:r w:rsidR="00211D24"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37D55843" w:rsidR="00211D24" w:rsidRDefault="00211D24" w:rsidP="00211D24">
      <w:pPr>
        <w:jc w:val="both"/>
      </w:pPr>
      <w:r>
        <w:t xml:space="preserve">V rámci MAS bude nejprve ze strany kanceláře MAS </w:t>
      </w:r>
      <w:r w:rsidR="00095943">
        <w:t>Šternbersko</w:t>
      </w:r>
      <w:r>
        <w:t xml:space="preserve"> provedena administrativní kontrola. Věcné hodnocení záměrů provádí Výběrová komise MAS </w:t>
      </w:r>
      <w:r w:rsidR="00095943">
        <w:t>Šternbersko</w:t>
      </w:r>
      <w:r>
        <w:t xml:space="preserve"> jakožto výběrový orgán. Programový výbor MAS </w:t>
      </w:r>
      <w:r w:rsidR="00095943">
        <w:t>Šternbersko</w:t>
      </w:r>
      <w:r>
        <w:t xml:space="preserve"> jakožto </w:t>
      </w:r>
      <w:r w:rsidR="008B7B1D">
        <w:t xml:space="preserve">rozhodovací </w:t>
      </w:r>
      <w:r>
        <w:t xml:space="preserve">orgán vybírá záměry, kterým bude vydáno Vyjádření o souladu se SCLLD MAS </w:t>
      </w:r>
      <w:r w:rsidR="00095943">
        <w:t>Šternbersko</w:t>
      </w:r>
      <w:r>
        <w:t>. Toto vyjádření je povinnou součástí žádosti o podporu, kterou nositelé vybraných záměrů následně zpracují v MS21+.</w:t>
      </w:r>
    </w:p>
    <w:p w14:paraId="7A5EAD6D" w14:textId="75FC04CB" w:rsidR="00211D24" w:rsidRDefault="00211D24" w:rsidP="00211D24">
      <w:pPr>
        <w:jc w:val="both"/>
      </w:pPr>
      <w:r>
        <w:t>Postup hodnocení záměrů je uveden v</w:t>
      </w:r>
      <w:r w:rsidR="00095943">
        <w:t> interních postupech</w:t>
      </w:r>
      <w:r>
        <w:t xml:space="preserve"> MAS </w:t>
      </w:r>
      <w:r w:rsidR="00095943">
        <w:t xml:space="preserve">Šternbersko, které jsou zveřejněny </w:t>
      </w:r>
      <w:proofErr w:type="gramStart"/>
      <w:r w:rsidR="00095943">
        <w:t>na</w:t>
      </w:r>
      <w:proofErr w:type="gramEnd"/>
      <w:r w:rsidR="00095943">
        <w:t xml:space="preserve">: </w:t>
      </w:r>
      <w:r>
        <w:t xml:space="preserve"> </w:t>
      </w:r>
      <w:hyperlink r:id="rId10" w:history="1">
        <w:r w:rsidR="008B14F4" w:rsidRPr="00EC31D8">
          <w:rPr>
            <w:rStyle w:val="Hypertextovodkaz"/>
          </w:rPr>
          <w:t>https://www.mas-sternbersko.cz/vyzvy-mas/irop/</w:t>
        </w:r>
      </w:hyperlink>
    </w:p>
    <w:p w14:paraId="7A0D1AD6" w14:textId="00E5B00D" w:rsidR="00211D24" w:rsidRDefault="00211D24" w:rsidP="00211D24">
      <w:pPr>
        <w:jc w:val="both"/>
      </w:pPr>
      <w:bookmarkStart w:id="1" w:name="_GoBack"/>
      <w:bookmarkEnd w:id="1"/>
      <w:r>
        <w:t xml:space="preserve">Po výběru projektových záměrů ze strany MAS následuje podání </w:t>
      </w:r>
      <w:r w:rsidR="00203E2D">
        <w:t>žádosti o podporu do výzvy č. 73</w:t>
      </w:r>
      <w:r>
        <w:t xml:space="preserve"> IROP, a to prostřednictvím MS21+. </w:t>
      </w:r>
      <w:r w:rsidR="00095943">
        <w:t>Samotné h</w:t>
      </w:r>
      <w:r>
        <w:t xml:space="preserve">odnocení žádostí o podporu je v kompetenci Centra pro regionální rozvoj (CRR). </w:t>
      </w:r>
    </w:p>
    <w:p w14:paraId="7CD82269" w14:textId="1DBF1601" w:rsidR="00211D24" w:rsidRDefault="00211D24" w:rsidP="00211D24">
      <w:pPr>
        <w:jc w:val="both"/>
      </w:pPr>
      <w:r>
        <w:t xml:space="preserve">Věcná způsobilost je definována v Obecných a Specifických pravidlech pro </w:t>
      </w:r>
      <w:r w:rsidR="00203E2D">
        <w:t xml:space="preserve">žadatele a příjemce výzvy   č. 73 </w:t>
      </w:r>
      <w:r>
        <w:t>IROP (vždy v aktuálním znění).</w:t>
      </w:r>
    </w:p>
    <w:p w14:paraId="2C5650A1" w14:textId="28E9EC91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B009A3" w:rsidRPr="00EA5F36">
          <w:rPr>
            <w:rStyle w:val="Hypertextovodkaz"/>
          </w:rPr>
          <w:t>https://irop.mmr.cz/cs/vyzvy-2021-2027/vyzvy/73vyzvairop</w:t>
        </w:r>
      </w:hyperlink>
      <w:r w:rsidR="00B009A3">
        <w:t xml:space="preserve"> </w:t>
      </w:r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2363B03C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(osoby) jednajících jménem žadatele (nebo osob zmocněných na základě plné moci) a relevantní přílohy je nutné zaslat na e-mail: </w:t>
      </w:r>
      <w:hyperlink r:id="rId12" w:history="1">
        <w:r w:rsidR="00B51EF3" w:rsidRPr="00867165">
          <w:rPr>
            <w:rStyle w:val="Hypertextovodkaz"/>
            <w:b/>
            <w:bCs/>
          </w:rPr>
          <w:t>irop@mas-sternbersko.cz</w:t>
        </w:r>
      </w:hyperlink>
    </w:p>
    <w:p w14:paraId="7FCE3592" w14:textId="75BD298E" w:rsidR="00211D24" w:rsidRPr="008B7B1D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8B7B1D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006DA8" w:rsidRDefault="00C566ED" w:rsidP="009319B7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="00331076"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470AF7F3" w:rsidR="006E6251" w:rsidRPr="00331076" w:rsidRDefault="00331076" w:rsidP="005644B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5644BD">
              <w:rPr>
                <w:rFonts w:cs="Arial"/>
                <w:b/>
                <w:sz w:val="20"/>
                <w:szCs w:val="20"/>
              </w:rPr>
              <w:t>Šternbersko</w:t>
            </w:r>
            <w:r w:rsidRPr="00331076">
              <w:rPr>
                <w:rFonts w:cs="Arial"/>
                <w:b/>
                <w:sz w:val="20"/>
                <w:szCs w:val="20"/>
              </w:rPr>
              <w:t xml:space="preserve">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4AF52813" w:rsidR="006E6251" w:rsidRPr="00331076" w:rsidRDefault="006E6251" w:rsidP="00F728E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F728E1">
              <w:rPr>
                <w:sz w:val="20"/>
                <w:szCs w:val="20"/>
              </w:rPr>
              <w:t>1.5.1.</w:t>
            </w:r>
            <w:r w:rsidR="00331076" w:rsidRPr="00331076">
              <w:rPr>
                <w:sz w:val="20"/>
                <w:szCs w:val="20"/>
              </w:rPr>
              <w:t xml:space="preserve"> </w:t>
            </w:r>
            <w:r w:rsidR="00F728E1">
              <w:rPr>
                <w:sz w:val="20"/>
                <w:szCs w:val="20"/>
              </w:rPr>
              <w:t>Revitalizace veřejných prostorů, návsí apod.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01791244" w:rsidR="006E6251" w:rsidRPr="005F5A86" w:rsidRDefault="006E6251" w:rsidP="005F5A86">
            <w:pPr>
              <w:spacing w:after="0" w:line="240" w:lineRule="auto"/>
              <w:rPr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5F5A86" w:rsidRPr="005F5A86">
              <w:rPr>
                <w:sz w:val="20"/>
                <w:szCs w:val="20"/>
              </w:rPr>
              <w:t>73. výzva IROP - Veřej</w:t>
            </w:r>
            <w:r w:rsidR="005F5A86">
              <w:rPr>
                <w:sz w:val="20"/>
                <w:szCs w:val="20"/>
              </w:rPr>
              <w:t>ná prostranství - SC 5.1 (CLLD)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5C249748" w:rsidR="006E6251" w:rsidRPr="00331076" w:rsidRDefault="006E6251" w:rsidP="005F5A8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5F5A86">
              <w:rPr>
                <w:rFonts w:cs="Arial"/>
                <w:bCs/>
                <w:sz w:val="20"/>
                <w:szCs w:val="20"/>
              </w:rPr>
              <w:t>Výzva č. 5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: MAS </w:t>
            </w:r>
            <w:r w:rsidR="005644BD">
              <w:rPr>
                <w:rFonts w:cs="Arial"/>
                <w:bCs/>
                <w:sz w:val="20"/>
                <w:szCs w:val="20"/>
              </w:rPr>
              <w:t>Šternbersko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 – IROP – </w:t>
            </w:r>
            <w:r w:rsidR="005F5A86">
              <w:rPr>
                <w:rFonts w:cs="Arial"/>
                <w:bCs/>
                <w:sz w:val="20"/>
                <w:szCs w:val="20"/>
              </w:rPr>
              <w:t>Veřejná prostranství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vyplňte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 xml:space="preserve">(ulice č. p./č. o., obec, </w:t>
            </w:r>
            <w:proofErr w:type="spellStart"/>
            <w:r w:rsidRPr="00331076">
              <w:rPr>
                <w:rFonts w:cs="Arial"/>
                <w:sz w:val="20"/>
                <w:szCs w:val="20"/>
              </w:rPr>
              <w:t>psč</w:t>
            </w:r>
            <w:proofErr w:type="spellEnd"/>
            <w:r w:rsidRPr="0033107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006DA8" w:rsidRDefault="00991E7D" w:rsidP="00991E7D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06DA8">
              <w:rPr>
                <w:rFonts w:cs="Arial"/>
                <w:b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25E5BF7F" w:rsidR="00991E7D" w:rsidRPr="005644BD" w:rsidRDefault="00991E7D" w:rsidP="00755FF3">
            <w:p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Stručně popište Váš projekt a podporované aktivity. A</w:t>
            </w:r>
            <w:r w:rsidR="00F728E1">
              <w:rPr>
                <w:i/>
                <w:color w:val="FF0000"/>
                <w:sz w:val="20"/>
                <w:szCs w:val="20"/>
              </w:rPr>
              <w:t>ktivity musí být v souladu se 73. výzvou IROP – Veřejná prostranství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77777777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644BD" w:rsidRDefault="00991E7D" w:rsidP="00755FF3">
            <w:p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644BD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644BD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644BD" w:rsidRDefault="00991E7D" w:rsidP="00991E7D">
            <w:p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343BD47B" w14:textId="77777777" w:rsidR="00446298" w:rsidRPr="00586900" w:rsidRDefault="00446298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6032DC" w:rsidRPr="00586900" w14:paraId="4297C60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3287832" w14:textId="1059E67E" w:rsidR="006032DC" w:rsidRPr="006032DC" w:rsidRDefault="006032DC" w:rsidP="00991E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Počet obyvatel obce, kde je projekt realizován (údaj </w:t>
            </w:r>
            <w:r w:rsidR="00203E2D">
              <w:rPr>
                <w:b/>
                <w:bCs/>
                <w:sz w:val="20"/>
                <w:szCs w:val="20"/>
              </w:rPr>
              <w:t>k 1. 1. 2023</w:t>
            </w:r>
            <w:r w:rsidRPr="006D0457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6032DC" w:rsidRPr="00586900" w14:paraId="27082EE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27F9354" w14:textId="2F8D42DE" w:rsidR="006032DC" w:rsidRPr="005644BD" w:rsidRDefault="006032DC" w:rsidP="00991E7D">
            <w:pPr>
              <w:rPr>
                <w:i/>
                <w:color w:val="FF0000"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Uveďte počet obyvatel.</w:t>
            </w:r>
          </w:p>
          <w:p w14:paraId="53957076" w14:textId="7F351550" w:rsidR="006032DC" w:rsidRPr="00586900" w:rsidRDefault="006032DC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569B2A9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</w:t>
            </w:r>
            <w:r w:rsidR="00E76B1A">
              <w:rPr>
                <w:color w:val="FF0000"/>
                <w:sz w:val="20"/>
                <w:szCs w:val="20"/>
              </w:rPr>
              <w:t>ů</w:t>
            </w:r>
            <w:r w:rsidRPr="00586900">
              <w:rPr>
                <w:color w:val="FF0000"/>
                <w:sz w:val="20"/>
                <w:szCs w:val="20"/>
              </w:rPr>
              <w:t>, stavební povolení atd.</w:t>
            </w: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1CCE91C4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</w:t>
            </w:r>
            <w:r w:rsidR="007314F2">
              <w:rPr>
                <w:b/>
              </w:rPr>
              <w:t xml:space="preserve">               </w:t>
            </w:r>
            <w:r w:rsidRPr="00586900">
              <w:rPr>
                <w:b/>
              </w:rPr>
              <w:t xml:space="preserve">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29B95E2E" w:rsidR="00991E7D" w:rsidRPr="005644BD" w:rsidRDefault="00991E7D" w:rsidP="005644BD">
            <w:pPr>
              <w:rPr>
                <w:i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měsíc. Uvažujte, že vyjádření o souladu záměru se SCLLD MAS </w:t>
            </w:r>
            <w:r w:rsidR="005644BD">
              <w:rPr>
                <w:i/>
                <w:color w:val="FF0000"/>
                <w:sz w:val="20"/>
                <w:szCs w:val="20"/>
              </w:rPr>
              <w:t>Šternbersko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 je vydáváno na 60 kalendářních dnů.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08FF56C9" w:rsidR="00991E7D" w:rsidRPr="005644BD" w:rsidRDefault="00726F7F" w:rsidP="00755FF3">
            <w:pPr>
              <w:rPr>
                <w:b/>
                <w:i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veďte ve formě (měsíc/rok)</w:t>
            </w:r>
            <w:r w:rsidRPr="005644BD">
              <w:rPr>
                <w:i/>
                <w:color w:val="FF0000"/>
                <w:sz w:val="20"/>
                <w:szCs w:val="20"/>
              </w:rPr>
              <w:t>. Realizace projektu může být zahájen</w:t>
            </w:r>
            <w:r w:rsidR="00EE1EE1" w:rsidRPr="005644BD">
              <w:rPr>
                <w:i/>
                <w:color w:val="FF0000"/>
                <w:sz w:val="20"/>
                <w:szCs w:val="20"/>
              </w:rPr>
              <w:t>a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EE1EE1" w:rsidRPr="005644BD">
              <w:rPr>
                <w:i/>
                <w:color w:val="FF0000"/>
                <w:sz w:val="20"/>
                <w:szCs w:val="20"/>
              </w:rPr>
              <w:t> </w:t>
            </w:r>
            <w:r w:rsidRPr="005644BD">
              <w:rPr>
                <w:i/>
                <w:color w:val="FF0000"/>
                <w:sz w:val="20"/>
                <w:szCs w:val="20"/>
              </w:rPr>
              <w:t>1.</w:t>
            </w:r>
            <w:r w:rsidR="00EE1EE1" w:rsidRPr="005644BD">
              <w:rPr>
                <w:i/>
                <w:color w:val="FF0000"/>
                <w:sz w:val="20"/>
                <w:szCs w:val="20"/>
              </w:rPr>
              <w:t> </w:t>
            </w:r>
            <w:r w:rsidRPr="005644BD">
              <w:rPr>
                <w:i/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05FC939F" w:rsidR="00991E7D" w:rsidRPr="005644BD" w:rsidRDefault="00726F7F" w:rsidP="00755FF3">
            <w:pPr>
              <w:rPr>
                <w:b/>
                <w:i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veďte ve formě (měsíc/rok)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. Realizace projektu nesmí být ukončena před podáním žádosti o podporu (plné žádosti </w:t>
            </w:r>
            <w:r w:rsidR="007314F2">
              <w:rPr>
                <w:i/>
                <w:color w:val="FF0000"/>
                <w:sz w:val="20"/>
                <w:szCs w:val="20"/>
              </w:rPr>
              <w:t xml:space="preserve">             </w:t>
            </w:r>
            <w:r w:rsidRPr="005644BD">
              <w:rPr>
                <w:i/>
                <w:color w:val="FF0000"/>
                <w:sz w:val="20"/>
                <w:szCs w:val="20"/>
              </w:rPr>
              <w:t>o podporu do MS21+).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644BD" w:rsidRDefault="00726F7F" w:rsidP="00726F7F">
            <w:pPr>
              <w:rPr>
                <w:i/>
                <w:sz w:val="20"/>
                <w:szCs w:val="20"/>
              </w:rPr>
            </w:pPr>
            <w:r w:rsidRPr="005644BD">
              <w:rPr>
                <w:i/>
                <w:color w:val="FF0000"/>
                <w:sz w:val="20"/>
                <w:szCs w:val="20"/>
              </w:rPr>
              <w:t>U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veďte vazbu na další projekty</w:t>
            </w:r>
            <w:r w:rsidRPr="005644BD">
              <w:rPr>
                <w:i/>
                <w:color w:val="FF0000"/>
                <w:sz w:val="20"/>
                <w:szCs w:val="20"/>
              </w:rPr>
              <w:t>,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 xml:space="preserve"> pokud je 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to </w:t>
            </w:r>
            <w:r w:rsidR="00991E7D" w:rsidRPr="005644BD">
              <w:rPr>
                <w:i/>
                <w:color w:val="FF0000"/>
                <w:sz w:val="20"/>
                <w:szCs w:val="20"/>
              </w:rPr>
              <w:t>relevantní</w:t>
            </w:r>
            <w:r w:rsidRPr="005644BD">
              <w:rPr>
                <w:i/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7314F2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7314F2">
              <w:rPr>
                <w:rFonts w:cs="Arial"/>
                <w:color w:val="FF0000"/>
                <w:sz w:val="20"/>
                <w:szCs w:val="20"/>
              </w:rPr>
              <w:t>U</w:t>
            </w:r>
            <w:r w:rsidR="00991E7D" w:rsidRPr="007314F2">
              <w:rPr>
                <w:rFonts w:cs="Arial"/>
                <w:color w:val="FF0000"/>
                <w:sz w:val="2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5BBDD888" w14:textId="05D80DE5" w:rsidR="00726F7F" w:rsidRPr="007314F2" w:rsidRDefault="00726F7F" w:rsidP="007314F2">
            <w:pPr>
              <w:rPr>
                <w:rFonts w:cs="Arial"/>
                <w:color w:val="FF0000"/>
                <w:sz w:val="20"/>
                <w:szCs w:val="20"/>
              </w:rPr>
            </w:pPr>
            <w:r w:rsidRPr="007314F2">
              <w:rPr>
                <w:rFonts w:cs="Arial"/>
                <w:color w:val="FF0000"/>
                <w:sz w:val="20"/>
                <w:szCs w:val="20"/>
              </w:rPr>
              <w:t>U</w:t>
            </w:r>
            <w:r w:rsidR="00991E7D" w:rsidRPr="007314F2">
              <w:rPr>
                <w:rFonts w:cs="Arial"/>
                <w:color w:val="FF0000"/>
                <w:sz w:val="20"/>
                <w:szCs w:val="20"/>
              </w:rPr>
              <w:t xml:space="preserve">veďte Celkové </w:t>
            </w:r>
            <w:r w:rsidRPr="007314F2">
              <w:rPr>
                <w:rFonts w:cs="Arial"/>
                <w:color w:val="FF0000"/>
                <w:sz w:val="20"/>
                <w:szCs w:val="20"/>
              </w:rPr>
              <w:t>způsobilé</w:t>
            </w:r>
            <w:r w:rsidR="00991E7D" w:rsidRPr="007314F2">
              <w:rPr>
                <w:rFonts w:cs="Arial"/>
                <w:color w:val="FF0000"/>
                <w:sz w:val="20"/>
                <w:szCs w:val="20"/>
              </w:rPr>
              <w:t xml:space="preserve"> výdaje projektu</w:t>
            </w:r>
            <w:r w:rsidR="008B7B1D" w:rsidRPr="007314F2">
              <w:rPr>
                <w:rFonts w:cs="Arial"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40C079A3" w:rsidR="00726F7F" w:rsidRPr="007314F2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7314F2">
              <w:rPr>
                <w:rFonts w:cs="Arial"/>
                <w:color w:val="FF0000"/>
                <w:sz w:val="20"/>
                <w:szCs w:val="20"/>
              </w:rPr>
              <w:t>Dotace je 95 % z celkových způsobilých výdajů projektu</w:t>
            </w:r>
            <w:r w:rsidR="008B7B1D" w:rsidRPr="007314F2">
              <w:rPr>
                <w:rFonts w:cs="Arial"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C162AF" w14:textId="10406118" w:rsidR="005644BD" w:rsidRDefault="00F728E1" w:rsidP="00F728E1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b/>
              </w:rPr>
              <w:t>Velikost upraveného veřejného prostranství</w:t>
            </w:r>
            <w:r w:rsidR="005644BD" w:rsidRPr="007314F2">
              <w:rPr>
                <w:i/>
                <w:color w:val="FF0000"/>
                <w:sz w:val="20"/>
                <w:szCs w:val="20"/>
              </w:rPr>
              <w:t xml:space="preserve">, </w:t>
            </w:r>
            <w:r>
              <w:rPr>
                <w:i/>
                <w:color w:val="FF0000"/>
                <w:sz w:val="20"/>
                <w:szCs w:val="20"/>
              </w:rPr>
              <w:t>posuzuje se velikost veřejného prostranství, které má být upraveno</w:t>
            </w:r>
          </w:p>
          <w:p w14:paraId="5C86E9C6" w14:textId="5B8B4420" w:rsidR="007314F2" w:rsidRPr="007314F2" w:rsidRDefault="007314F2" w:rsidP="00755FF3">
            <w:pPr>
              <w:rPr>
                <w:i/>
                <w:color w:val="FF0000"/>
                <w:sz w:val="20"/>
                <w:szCs w:val="20"/>
              </w:rPr>
            </w:pPr>
          </w:p>
        </w:tc>
      </w:tr>
      <w:tr w:rsidR="005644BD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10F0878" w14:textId="2525575C" w:rsidR="005644BD" w:rsidRDefault="00F728E1" w:rsidP="005644BD">
            <w:pPr>
              <w:rPr>
                <w:b/>
              </w:rPr>
            </w:pPr>
            <w:r>
              <w:rPr>
                <w:b/>
              </w:rPr>
              <w:t>Bezbariérovost</w:t>
            </w:r>
            <w:r w:rsidR="005644BD">
              <w:rPr>
                <w:b/>
              </w:rPr>
              <w:t>:</w:t>
            </w:r>
            <w:r w:rsidR="00791999">
              <w:rPr>
                <w:b/>
              </w:rPr>
              <w:t xml:space="preserve"> </w:t>
            </w:r>
          </w:p>
          <w:p w14:paraId="16194909" w14:textId="4FA57DF2" w:rsidR="00791999" w:rsidRPr="007314F2" w:rsidRDefault="00F728E1" w:rsidP="005644BD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Posuzuje se, zda bude veřejné prostranství bezbariérové</w:t>
            </w:r>
          </w:p>
          <w:p w14:paraId="667A918A" w14:textId="3A9AD5F6" w:rsidR="005644BD" w:rsidRPr="00586900" w:rsidRDefault="005644BD" w:rsidP="005644BD">
            <w:pPr>
              <w:rPr>
                <w:b/>
                <w:sz w:val="20"/>
                <w:szCs w:val="20"/>
              </w:rPr>
            </w:pPr>
          </w:p>
        </w:tc>
      </w:tr>
      <w:tr w:rsidR="005644BD" w:rsidRPr="00586900" w14:paraId="0BE4C4EA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E842ECB" w14:textId="67576499" w:rsidR="005644BD" w:rsidRPr="007314F2" w:rsidRDefault="00F728E1" w:rsidP="005644BD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Dokumentace a povolení</w:t>
            </w:r>
            <w:r w:rsidR="005644BD">
              <w:rPr>
                <w:b/>
              </w:rPr>
              <w:t>:</w:t>
            </w:r>
          </w:p>
          <w:p w14:paraId="21F31A9B" w14:textId="1E3F3CE5" w:rsidR="00791999" w:rsidRDefault="00F728E1" w:rsidP="005644BD">
            <w:pPr>
              <w:rPr>
                <w:i/>
                <w:color w:val="FF0000"/>
              </w:rPr>
            </w:pPr>
            <w:r>
              <w:rPr>
                <w:i/>
                <w:color w:val="FF0000"/>
                <w:sz w:val="20"/>
                <w:szCs w:val="20"/>
              </w:rPr>
              <w:t>Ověřuje se, v jaké fázi rozpracovanosti se projektový záměry nachází</w:t>
            </w:r>
            <w:r w:rsidR="00791999" w:rsidRPr="00791999">
              <w:rPr>
                <w:i/>
                <w:color w:val="FF0000"/>
              </w:rPr>
              <w:t>.</w:t>
            </w:r>
          </w:p>
          <w:p w14:paraId="1778AF2B" w14:textId="3B575F63" w:rsidR="007314F2" w:rsidRPr="00791999" w:rsidRDefault="007314F2" w:rsidP="005644BD">
            <w:pPr>
              <w:rPr>
                <w:i/>
              </w:rPr>
            </w:pPr>
          </w:p>
        </w:tc>
      </w:tr>
    </w:tbl>
    <w:p w14:paraId="6746B6AB" w14:textId="7B8E4409" w:rsidR="00647584" w:rsidRDefault="00647584" w:rsidP="00647584">
      <w:pPr>
        <w:rPr>
          <w:b/>
        </w:rPr>
      </w:pPr>
    </w:p>
    <w:p w14:paraId="1BD50C33" w14:textId="77777777" w:rsidR="007314F2" w:rsidRDefault="007314F2" w:rsidP="00647584">
      <w:pPr>
        <w:rPr>
          <w:b/>
        </w:rPr>
      </w:pPr>
    </w:p>
    <w:p w14:paraId="1ACA049A" w14:textId="12F2E60E" w:rsidR="00991E7D" w:rsidRDefault="00991E7D" w:rsidP="00647584">
      <w:pPr>
        <w:rPr>
          <w:b/>
        </w:rPr>
      </w:pPr>
      <w:r>
        <w:rPr>
          <w:b/>
        </w:rPr>
        <w:t>Indikátory projektu:</w:t>
      </w:r>
      <w:r w:rsidR="00F728E1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647584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B5F678A" w14:textId="4295AAFF" w:rsidR="00991E7D" w:rsidRPr="001C1F58" w:rsidRDefault="00AE235F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426 001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613F9DD" w14:textId="589AE7AF" w:rsidR="00991E7D" w:rsidRPr="00586900" w:rsidRDefault="00AE235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Objem retenčních nádrží pro využití srážkové vody</w:t>
            </w:r>
            <w:r w:rsidR="00586900" w:rsidRPr="00586900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0765804F" w14:textId="2A2B7C79" w:rsidR="00991E7D" w:rsidRPr="00586900" w:rsidRDefault="00203E2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m</w:t>
            </w:r>
            <w:r w:rsidR="00AE235F"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BF81530" w14:textId="507932DD" w:rsidR="00991E7D" w:rsidRPr="00006DA8" w:rsidRDefault="00991E7D" w:rsidP="00755FF3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="00586900"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751BF02" w14:textId="45C94A3C" w:rsidR="00991E7D" w:rsidRPr="00006DA8" w:rsidRDefault="00586900" w:rsidP="00755FF3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AE235F" w:rsidRPr="001C1F58" w14:paraId="0E3CEE61" w14:textId="77777777" w:rsidTr="00647584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DE1A449" w14:textId="5C44D767" w:rsidR="00AE235F" w:rsidRPr="001C1F58" w:rsidRDefault="00AE235F" w:rsidP="00AE235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444011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46863C0" w14:textId="7E942A35" w:rsidR="00AE235F" w:rsidRPr="00586900" w:rsidRDefault="00AE235F" w:rsidP="00AE235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obyvatel, kteří mají přístup k nové nebo modernizované infrastruktuře</w:t>
            </w:r>
            <w:r w:rsidRPr="00586900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13C7B7C9" w14:textId="05E49790" w:rsidR="00AE235F" w:rsidRPr="00586900" w:rsidRDefault="00AE235F" w:rsidP="00AE235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FE2573C" w14:textId="5631BEF4" w:rsidR="00AE235F" w:rsidRPr="00006DA8" w:rsidRDefault="00AE235F" w:rsidP="00AE235F">
            <w:pPr>
              <w:spacing w:after="0" w:line="240" w:lineRule="auto"/>
              <w:rPr>
                <w:rFonts w:cs="Arial"/>
                <w:bCs/>
                <w:i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93981FF" w14:textId="4D778AB4" w:rsidR="00AE235F" w:rsidRPr="00006DA8" w:rsidRDefault="00AE235F" w:rsidP="00AE235F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AE235F" w:rsidRPr="001C1F58" w14:paraId="6E145B29" w14:textId="77777777" w:rsidTr="00647584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5291B170" w14:textId="47B37933" w:rsidR="00AE235F" w:rsidRPr="001C1F58" w:rsidRDefault="00AE235F" w:rsidP="00AE235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554 601 (tento MI vstupuje do věcného hodnocení)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A510A5A" w14:textId="1E96EFAD" w:rsidR="00AE235F" w:rsidRPr="00586900" w:rsidRDefault="00AE235F" w:rsidP="00AE235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Zelená infrastruktura podpořená pro jiné účely než přizpůsobování se změnám klimatu</w:t>
            </w:r>
            <w:r w:rsidRPr="00586900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206F16A" w14:textId="32FD3082" w:rsidR="00AE235F" w:rsidRPr="00586900" w:rsidRDefault="00AE235F" w:rsidP="00AE235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>
              <w:rPr>
                <w:rFonts w:cs="Arial"/>
                <w:bCs/>
                <w:sz w:val="20"/>
                <w:szCs w:val="20"/>
              </w:rPr>
              <w:t>hektary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F685DBA" w14:textId="7E110317" w:rsidR="00AE235F" w:rsidRPr="00006DA8" w:rsidRDefault="00AE235F" w:rsidP="00AE235F">
            <w:pPr>
              <w:spacing w:after="0" w:line="240" w:lineRule="auto"/>
              <w:rPr>
                <w:rFonts w:cs="Arial"/>
                <w:bCs/>
                <w:i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sz w:val="20"/>
                <w:szCs w:val="20"/>
              </w:rPr>
              <w:t> </w:t>
            </w: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11E089D5" w14:textId="6DB0722D" w:rsidR="00AE235F" w:rsidRPr="00006DA8" w:rsidRDefault="00AE235F" w:rsidP="00AE235F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AE235F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DFA293C" w14:textId="77777777" w:rsidR="00AE235F" w:rsidRPr="001C1F58" w:rsidRDefault="00AE235F" w:rsidP="00AE235F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10CA7A8" w14:textId="2EEFFC6C" w:rsidR="00AE235F" w:rsidRPr="00006DA8" w:rsidRDefault="00AE235F" w:rsidP="00AE235F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D88AF18" w14:textId="77777777" w:rsidR="00AE235F" w:rsidRPr="00586900" w:rsidRDefault="00AE235F" w:rsidP="00AE235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B22E77" w14:textId="77777777" w:rsidR="00AE235F" w:rsidRPr="00586900" w:rsidRDefault="00AE235F" w:rsidP="00AE235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1AD8A15" w14:textId="77777777" w:rsidR="00AE235F" w:rsidRPr="00586900" w:rsidRDefault="00AE235F" w:rsidP="00AE235F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AE235F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ADC914C" w14:textId="77777777" w:rsidR="00AE235F" w:rsidRPr="001C1F58" w:rsidRDefault="00AE235F" w:rsidP="00AE235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2D7F516" w14:textId="77777777" w:rsidR="00AE235F" w:rsidRPr="00006DA8" w:rsidRDefault="00AE235F" w:rsidP="00AE235F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AE235F" w:rsidRPr="00006DA8" w:rsidRDefault="00AE235F" w:rsidP="00AE235F">
            <w:pPr>
              <w:spacing w:after="0" w:line="240" w:lineRule="auto"/>
              <w:rPr>
                <w:rFonts w:cs="Arial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6C54B84" w14:textId="77777777" w:rsidR="00AE235F" w:rsidRPr="00586900" w:rsidRDefault="00AE235F" w:rsidP="00AE235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9EEC5E5" w14:textId="77777777" w:rsidR="00AE235F" w:rsidRPr="00586900" w:rsidRDefault="00AE235F" w:rsidP="00AE235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82AABD9" w14:textId="77777777" w:rsidR="00AE235F" w:rsidRPr="00586900" w:rsidRDefault="00AE235F" w:rsidP="00AE235F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006DA8" w:rsidRDefault="00586900" w:rsidP="00755FF3">
            <w:pPr>
              <w:rPr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2D37CD3A" w:rsidR="00991E7D" w:rsidRPr="00006DA8" w:rsidRDefault="00586900" w:rsidP="00755FF3">
            <w:pPr>
              <w:rPr>
                <w:i/>
                <w:color w:val="FF0000"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další přílohy, jsou-li 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006DA8" w:rsidRDefault="00586900" w:rsidP="00755FF3">
            <w:pPr>
              <w:rPr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006DA8" w:rsidRDefault="00991E7D" w:rsidP="00755FF3">
            <w:pPr>
              <w:spacing w:after="0" w:line="240" w:lineRule="auto"/>
              <w:rPr>
                <w:rFonts w:cs="Arial"/>
                <w:b/>
                <w:i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44B91C21" w:rsidR="00991E7D" w:rsidRPr="001C1F58" w:rsidRDefault="00A41571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006DA8" w:rsidRDefault="00991E7D" w:rsidP="00755FF3">
            <w:pPr>
              <w:spacing w:after="0" w:line="240" w:lineRule="auto"/>
              <w:rPr>
                <w:rFonts w:cs="Arial"/>
                <w:b/>
                <w:i/>
                <w:szCs w:val="20"/>
                <w:u w:val="single"/>
              </w:rPr>
            </w:pPr>
            <w:r w:rsidRPr="00006DA8">
              <w:rPr>
                <w:rFonts w:cs="Arial"/>
                <w:bCs/>
                <w:i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0C7900F9" w:rsidR="00991E7D" w:rsidRPr="001C1F58" w:rsidRDefault="00A41571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991E7D">
              <w:rPr>
                <w:rFonts w:cs="Arial"/>
                <w:bCs/>
                <w:szCs w:val="20"/>
              </w:rPr>
              <w:t>odpis předkladatele projektového záměru: (elektronický podpis)</w:t>
            </w:r>
            <w:r w:rsidR="00991E7D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6D3100AD" w:rsidR="00991E7D" w:rsidRPr="00006DA8" w:rsidRDefault="007314F2" w:rsidP="00755FF3">
            <w:pPr>
              <w:spacing w:after="0" w:line="240" w:lineRule="auto"/>
              <w:rPr>
                <w:rFonts w:cs="Arial"/>
                <w:bCs/>
                <w:i/>
                <w:color w:val="FF0000"/>
                <w:szCs w:val="20"/>
              </w:rPr>
            </w:pPr>
            <w:r w:rsidRPr="00006DA8">
              <w:rPr>
                <w:rFonts w:cs="Arial"/>
                <w:bCs/>
                <w:i/>
                <w:color w:val="FF0000"/>
                <w:szCs w:val="20"/>
              </w:rPr>
              <w:t>e</w:t>
            </w:r>
            <w:r w:rsidR="00446298" w:rsidRPr="00006DA8">
              <w:rPr>
                <w:rFonts w:cs="Arial"/>
                <w:bCs/>
                <w:i/>
                <w:color w:val="FF0000"/>
                <w:szCs w:val="20"/>
              </w:rPr>
              <w:t>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4CC8E" w14:textId="77777777" w:rsidR="00091372" w:rsidRDefault="00091372" w:rsidP="00DC4000">
      <w:pPr>
        <w:spacing w:after="0" w:line="240" w:lineRule="auto"/>
      </w:pPr>
      <w:r>
        <w:separator/>
      </w:r>
    </w:p>
  </w:endnote>
  <w:endnote w:type="continuationSeparator" w:id="0">
    <w:p w14:paraId="40590FF4" w14:textId="77777777" w:rsidR="00091372" w:rsidRDefault="00091372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7E85AB26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4F4">
          <w:rPr>
            <w:noProof/>
          </w:rPr>
          <w:t>4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EDD85" w14:textId="77777777" w:rsidR="00091372" w:rsidRDefault="00091372" w:rsidP="00DC4000">
      <w:pPr>
        <w:spacing w:after="0" w:line="240" w:lineRule="auto"/>
      </w:pPr>
      <w:r>
        <w:separator/>
      </w:r>
    </w:p>
  </w:footnote>
  <w:footnote w:type="continuationSeparator" w:id="0">
    <w:p w14:paraId="7754D4BD" w14:textId="77777777" w:rsidR="00091372" w:rsidRDefault="00091372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CC391" w14:textId="67CC4663" w:rsidR="00DC4000" w:rsidRDefault="00095943" w:rsidP="00095943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EE4B5" wp14:editId="728C1C20">
          <wp:simplePos x="0" y="0"/>
          <wp:positionH relativeFrom="margin">
            <wp:posOffset>-635</wp:posOffset>
          </wp:positionH>
          <wp:positionV relativeFrom="paragraph">
            <wp:posOffset>-60325</wp:posOffset>
          </wp:positionV>
          <wp:extent cx="3444240" cy="413385"/>
          <wp:effectExtent l="0" t="0" r="3810" b="5715"/>
          <wp:wrapTight wrapText="bothSides">
            <wp:wrapPolygon edited="0">
              <wp:start x="0" y="0"/>
              <wp:lineTo x="0" y="20903"/>
              <wp:lineTo x="4062" y="20903"/>
              <wp:lineTo x="20549" y="19908"/>
              <wp:lineTo x="20429" y="15926"/>
              <wp:lineTo x="21504" y="5972"/>
              <wp:lineTo x="21504" y="995"/>
              <wp:lineTo x="406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424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5CCB12D4" wp14:editId="6A7B5B74">
          <wp:extent cx="2139733" cy="3429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DCF3AC.tm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904" cy="377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06DA8"/>
    <w:rsid w:val="0005018F"/>
    <w:rsid w:val="00091372"/>
    <w:rsid w:val="00095943"/>
    <w:rsid w:val="00106565"/>
    <w:rsid w:val="001115D4"/>
    <w:rsid w:val="00117535"/>
    <w:rsid w:val="001235EA"/>
    <w:rsid w:val="00174A6F"/>
    <w:rsid w:val="00203E2D"/>
    <w:rsid w:val="00211D24"/>
    <w:rsid w:val="00223C06"/>
    <w:rsid w:val="0023690F"/>
    <w:rsid w:val="00236CF7"/>
    <w:rsid w:val="00260C35"/>
    <w:rsid w:val="002749EF"/>
    <w:rsid w:val="002E7863"/>
    <w:rsid w:val="00305610"/>
    <w:rsid w:val="00305A1C"/>
    <w:rsid w:val="00323588"/>
    <w:rsid w:val="00331076"/>
    <w:rsid w:val="00351DDA"/>
    <w:rsid w:val="003E4E8C"/>
    <w:rsid w:val="00446298"/>
    <w:rsid w:val="00455349"/>
    <w:rsid w:val="00480754"/>
    <w:rsid w:val="004A70A7"/>
    <w:rsid w:val="004E36F2"/>
    <w:rsid w:val="004E4B1D"/>
    <w:rsid w:val="00512073"/>
    <w:rsid w:val="00552CD1"/>
    <w:rsid w:val="005644BD"/>
    <w:rsid w:val="00566AB1"/>
    <w:rsid w:val="00583387"/>
    <w:rsid w:val="00586900"/>
    <w:rsid w:val="005F5A86"/>
    <w:rsid w:val="006032DC"/>
    <w:rsid w:val="006156C1"/>
    <w:rsid w:val="00647584"/>
    <w:rsid w:val="00650FCD"/>
    <w:rsid w:val="006B2083"/>
    <w:rsid w:val="006C580A"/>
    <w:rsid w:val="006D0457"/>
    <w:rsid w:val="006E6251"/>
    <w:rsid w:val="006F460C"/>
    <w:rsid w:val="0072105A"/>
    <w:rsid w:val="00726F7F"/>
    <w:rsid w:val="007314F2"/>
    <w:rsid w:val="0074625F"/>
    <w:rsid w:val="00756F8E"/>
    <w:rsid w:val="00791999"/>
    <w:rsid w:val="007A2964"/>
    <w:rsid w:val="007D1E1A"/>
    <w:rsid w:val="00806654"/>
    <w:rsid w:val="008B14F4"/>
    <w:rsid w:val="008B7B1D"/>
    <w:rsid w:val="008C6FB6"/>
    <w:rsid w:val="008D2D37"/>
    <w:rsid w:val="0094363F"/>
    <w:rsid w:val="00985397"/>
    <w:rsid w:val="00991E7D"/>
    <w:rsid w:val="00A41571"/>
    <w:rsid w:val="00AC004D"/>
    <w:rsid w:val="00AE235F"/>
    <w:rsid w:val="00B009A3"/>
    <w:rsid w:val="00B2672F"/>
    <w:rsid w:val="00B51EF3"/>
    <w:rsid w:val="00BA3A50"/>
    <w:rsid w:val="00BA5D28"/>
    <w:rsid w:val="00C13769"/>
    <w:rsid w:val="00C54DA3"/>
    <w:rsid w:val="00C566ED"/>
    <w:rsid w:val="00C97923"/>
    <w:rsid w:val="00D275CA"/>
    <w:rsid w:val="00D62762"/>
    <w:rsid w:val="00D65CEA"/>
    <w:rsid w:val="00D722D1"/>
    <w:rsid w:val="00DC4000"/>
    <w:rsid w:val="00E76B1A"/>
    <w:rsid w:val="00E83D6B"/>
    <w:rsid w:val="00E86148"/>
    <w:rsid w:val="00E95273"/>
    <w:rsid w:val="00EE1EE1"/>
    <w:rsid w:val="00EF18AB"/>
    <w:rsid w:val="00F379D1"/>
    <w:rsid w:val="00F728E1"/>
    <w:rsid w:val="00F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rop@mas-sternbersko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73vyzvairo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-sternbersko.cz/vyzvy-mas/irop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dc9be213-8e18-4302-b1c9-f65a009e644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913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Kateřina Černá</cp:lastModifiedBy>
  <cp:revision>3</cp:revision>
  <dcterms:created xsi:type="dcterms:W3CDTF">2023-09-29T13:09:00Z</dcterms:created>
  <dcterms:modified xsi:type="dcterms:W3CDTF">2023-10-30T10:39:00Z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