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3CF8561" w:rsidR="00211D24" w:rsidRPr="00EB18AC" w:rsidRDefault="00963100" w:rsidP="00211D2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Výzva č. </w:t>
      </w:r>
      <w:r w:rsidR="00C3715A">
        <w:rPr>
          <w:rFonts w:ascii="Calibri" w:hAnsi="Calibri" w:cs="Calibri"/>
          <w:b/>
          <w:sz w:val="28"/>
          <w:szCs w:val="28"/>
        </w:rPr>
        <w:t>3</w:t>
      </w:r>
      <w:r w:rsidR="00211D24"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10180A85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="00C3715A">
        <w:rPr>
          <w:rFonts w:ascii="Calibri" w:hAnsi="Calibri" w:cs="Calibri"/>
          <w:b/>
          <w:smallCaps/>
          <w:sz w:val="28"/>
          <w:szCs w:val="28"/>
        </w:rPr>
        <w:t xml:space="preserve">3. VÝZVA 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MAS </w:t>
      </w:r>
      <w:r w:rsidR="00095943">
        <w:rPr>
          <w:rFonts w:ascii="Calibri" w:hAnsi="Calibri" w:cs="Calibri"/>
          <w:b/>
          <w:smallCaps/>
          <w:sz w:val="28"/>
          <w:szCs w:val="28"/>
        </w:rPr>
        <w:t>ŠTERNBERSKO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</w:t>
      </w:r>
      <w:r w:rsidR="00963100" w:rsidRPr="00963100">
        <w:t xml:space="preserve"> </w:t>
      </w:r>
      <w:r w:rsidR="00C3715A">
        <w:rPr>
          <w:rFonts w:ascii="Calibri" w:hAnsi="Calibri" w:cs="Calibri"/>
          <w:b/>
          <w:smallCaps/>
          <w:sz w:val="28"/>
          <w:szCs w:val="28"/>
        </w:rPr>
        <w:t>ROZVOJ DOPRAVNÍ INFRASTRUKTURY OBCÍ</w:t>
      </w:r>
      <w:r w:rsidR="00963100" w:rsidRPr="00963100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58E5ECE7" w:rsidR="00C97923" w:rsidRDefault="00211D24" w:rsidP="00963100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C3715A">
        <w:rPr>
          <w:rFonts w:ascii="Calibri" w:hAnsi="Calibri" w:cs="Calibri"/>
          <w:b/>
          <w:smallCaps/>
          <w:sz w:val="28"/>
          <w:szCs w:val="28"/>
        </w:rPr>
        <w:t>60</w:t>
      </w:r>
      <w:r w:rsidR="00963100" w:rsidRPr="00963100">
        <w:rPr>
          <w:rFonts w:ascii="Calibri" w:hAnsi="Calibri" w:cs="Calibri"/>
          <w:b/>
          <w:smallCaps/>
          <w:sz w:val="28"/>
          <w:szCs w:val="28"/>
        </w:rPr>
        <w:t xml:space="preserve">. Výzvu - IROP - </w:t>
      </w:r>
      <w:r w:rsidR="00C3715A">
        <w:rPr>
          <w:rFonts w:ascii="Calibri" w:hAnsi="Calibri" w:cs="Calibri"/>
          <w:b/>
          <w:smallCaps/>
          <w:sz w:val="28"/>
          <w:szCs w:val="28"/>
        </w:rPr>
        <w:t>DOPRAVA</w:t>
      </w:r>
      <w:r w:rsidR="00963100" w:rsidRPr="00963100">
        <w:rPr>
          <w:rFonts w:ascii="Calibri" w:hAnsi="Calibri" w:cs="Calibri"/>
          <w:b/>
          <w:smallCaps/>
          <w:sz w:val="28"/>
          <w:szCs w:val="28"/>
        </w:rPr>
        <w:t>- SC 5.1</w:t>
      </w: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7D55843" w:rsidR="00211D24" w:rsidRDefault="00211D24" w:rsidP="00211D24">
      <w:pPr>
        <w:jc w:val="both"/>
      </w:pPr>
      <w:r>
        <w:t xml:space="preserve">V rámci MAS bude nejprve ze strany kanceláře MAS </w:t>
      </w:r>
      <w:r w:rsidR="00095943">
        <w:t>Šternbersko</w:t>
      </w:r>
      <w:r>
        <w:t xml:space="preserve"> provedena administrativní kontrola. Věcné hodnocení záměrů provádí Výběrová komise MAS </w:t>
      </w:r>
      <w:r w:rsidR="00095943">
        <w:t>Šternbersko</w:t>
      </w:r>
      <w:r>
        <w:t xml:space="preserve"> jakožto výběrový orgán. Programový výbor MAS </w:t>
      </w:r>
      <w:r w:rsidR="00095943">
        <w:t>Šternbersko</w:t>
      </w:r>
      <w:r>
        <w:t xml:space="preserve"> jakožto </w:t>
      </w:r>
      <w:r w:rsidR="008B7B1D">
        <w:t xml:space="preserve">rozhodovací </w:t>
      </w:r>
      <w:r>
        <w:t xml:space="preserve">orgán vybírá záměry, kterým bude vydáno Vyjádření o souladu se SCLLD MAS </w:t>
      </w:r>
      <w:r w:rsidR="00095943">
        <w:t>Šternbersko</w:t>
      </w:r>
      <w:r>
        <w:t>. Toto vyjádření je povinnou součástí žádosti o podporu, kterou nositelé vybraných záměrů následně zpracují v MS21+.</w:t>
      </w:r>
    </w:p>
    <w:p w14:paraId="7A5EAD6D" w14:textId="5AC247AA" w:rsidR="00211D24" w:rsidRDefault="00211D24" w:rsidP="00211D24">
      <w:pPr>
        <w:jc w:val="both"/>
      </w:pPr>
      <w:r>
        <w:t>Postup hodnocení záměrů je uveden v</w:t>
      </w:r>
      <w:r w:rsidR="00095943">
        <w:t> interních postupech</w:t>
      </w:r>
      <w:r>
        <w:t xml:space="preserve"> MAS </w:t>
      </w:r>
      <w:r w:rsidR="00095943">
        <w:t xml:space="preserve">Šternbersko, které jsou zveřejněny </w:t>
      </w:r>
      <w:proofErr w:type="gramStart"/>
      <w:r w:rsidR="00095943">
        <w:t>na</w:t>
      </w:r>
      <w:proofErr w:type="gramEnd"/>
      <w:r w:rsidR="00095943">
        <w:t xml:space="preserve">: </w:t>
      </w:r>
      <w:r>
        <w:t xml:space="preserve"> </w:t>
      </w:r>
    </w:p>
    <w:p w14:paraId="7A0D1AD6" w14:textId="10D909F8" w:rsidR="00211D24" w:rsidRDefault="00211D24" w:rsidP="00211D24">
      <w:pPr>
        <w:jc w:val="both"/>
      </w:pPr>
      <w:r>
        <w:t xml:space="preserve">Po výběru projektových záměrů ze strany MAS následuje podání </w:t>
      </w:r>
      <w:r w:rsidR="00963100">
        <w:t>žádosti o podporu do výzvy č. 48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77777777" w:rsidR="00211D24" w:rsidRDefault="00211D24" w:rsidP="00211D24">
      <w:pPr>
        <w:jc w:val="both"/>
      </w:pPr>
      <w:r>
        <w:t>Věcná způsobilost je definována v Obecných a Specifických pravidlech pro žadatele a příjemce výzvy č. 49 IROP (vždy v aktuálním znění).</w:t>
      </w:r>
    </w:p>
    <w:p w14:paraId="2C5650A1" w14:textId="5C41518D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EB0435" w:rsidRPr="002F47A4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363B03C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1" w:history="1">
        <w:r w:rsidR="00B51EF3" w:rsidRPr="00867165">
          <w:rPr>
            <w:rStyle w:val="Hypertextovodkaz"/>
            <w:b/>
            <w:bCs/>
          </w:rPr>
          <w:t>irop@mas-sternbersko.cz</w:t>
        </w:r>
      </w:hyperlink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  <w:bookmarkStart w:id="1" w:name="_GoBack"/>
      <w:bookmarkEnd w:id="1"/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470AF7F3" w:rsidR="006E6251" w:rsidRPr="00331076" w:rsidRDefault="00331076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5644BD">
              <w:rPr>
                <w:rFonts w:cs="Arial"/>
                <w:b/>
                <w:sz w:val="20"/>
                <w:szCs w:val="20"/>
              </w:rPr>
              <w:t>Šternbersko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5AE8806" w14:textId="77777777" w:rsidR="00DF1583" w:rsidRPr="00DF1583" w:rsidRDefault="006E6251" w:rsidP="00DF1583">
            <w:pPr>
              <w:spacing w:after="0" w:line="240" w:lineRule="auto"/>
              <w:rPr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DF1583" w:rsidRPr="00DF1583">
              <w:rPr>
                <w:sz w:val="20"/>
                <w:szCs w:val="20"/>
              </w:rPr>
              <w:t>5.1 Podpora integrovaného a inkluzivního sociálního, hospodářského a environmentálního místního rozvoje, kultury, přírodního dědictví, udržitelného cestovního ruchu a bezpečnosti</w:t>
            </w:r>
          </w:p>
          <w:p w14:paraId="1CC9AE0B" w14:textId="23A527F2" w:rsidR="006E6251" w:rsidRPr="00331076" w:rsidRDefault="00DF1583" w:rsidP="00DF158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F1583">
              <w:rPr>
                <w:sz w:val="20"/>
                <w:szCs w:val="20"/>
              </w:rPr>
              <w:t>v jiných než městských oblastech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6C03DF9C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DF1583">
              <w:rPr>
                <w:sz w:val="20"/>
                <w:szCs w:val="20"/>
              </w:rPr>
              <w:t>60.</w:t>
            </w:r>
            <w:r w:rsidR="00963100" w:rsidRPr="00963100">
              <w:rPr>
                <w:sz w:val="20"/>
                <w:szCs w:val="20"/>
              </w:rPr>
              <w:t xml:space="preserve"> VÝZVU - IROP - VZDĚLÁVÁNÍ -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74108B3F" w:rsidR="006E6251" w:rsidRPr="00331076" w:rsidRDefault="006E6251" w:rsidP="005644B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proofErr w:type="gramStart"/>
            <w:r w:rsidR="00DF1583" w:rsidRPr="00DF1583">
              <w:rPr>
                <w:rFonts w:cs="Arial"/>
                <w:bCs/>
                <w:sz w:val="20"/>
                <w:szCs w:val="20"/>
              </w:rPr>
              <w:t>3.výzva</w:t>
            </w:r>
            <w:proofErr w:type="gramEnd"/>
            <w:r w:rsidR="00DF1583" w:rsidRPr="00DF1583">
              <w:rPr>
                <w:rFonts w:cs="Arial"/>
                <w:bCs/>
                <w:sz w:val="20"/>
                <w:szCs w:val="20"/>
              </w:rPr>
              <w:t xml:space="preserve"> MAS Šternbersko-IROP-ROZVOJ DOPRAVNÍ INFRASTRUKTURY OBCÍ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proofErr w:type="spellStart"/>
            <w:r w:rsidRPr="00331076">
              <w:rPr>
                <w:rFonts w:cs="Arial"/>
                <w:sz w:val="20"/>
                <w:szCs w:val="20"/>
              </w:rPr>
              <w:t>psč</w:t>
            </w:r>
            <w:proofErr w:type="spellEnd"/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D0046B1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Stručně popište Váš projekt a podporované aktivity. Aktivity musí být v souladu se 49. výzvou IROP – Sociální služby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032DC" w:rsidRPr="00586900" w14:paraId="4297C6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87832" w14:textId="55036B38" w:rsidR="006032DC" w:rsidRPr="006032DC" w:rsidRDefault="006032DC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Počet obyvatel obce, kde je projekt realizován (údaj </w:t>
            </w:r>
            <w:r w:rsidRPr="006D0457">
              <w:rPr>
                <w:b/>
                <w:bCs/>
                <w:sz w:val="20"/>
                <w:szCs w:val="20"/>
              </w:rPr>
              <w:t>k 1. 1. 2022):</w:t>
            </w:r>
          </w:p>
        </w:tc>
      </w:tr>
      <w:tr w:rsidR="006032DC" w:rsidRPr="00586900" w14:paraId="27082EE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F9354" w14:textId="2F8D42DE" w:rsidR="006032DC" w:rsidRPr="005644BD" w:rsidRDefault="006032DC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počet obyvatel.</w:t>
            </w:r>
          </w:p>
          <w:p w14:paraId="53957076" w14:textId="7F351550" w:rsidR="006032DC" w:rsidRPr="00586900" w:rsidRDefault="006032DC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9B95E2E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5644BD">
              <w:rPr>
                <w:i/>
                <w:color w:val="FF0000"/>
                <w:sz w:val="20"/>
                <w:szCs w:val="20"/>
              </w:rPr>
              <w:t>Šternbersko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08FF56C9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FC939F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Realizace projektu nesmí být ukončena před podáním žádosti o podporu (plné žádosti </w:t>
            </w:r>
            <w:r w:rsidR="007314F2">
              <w:rPr>
                <w:i/>
                <w:color w:val="FF0000"/>
                <w:sz w:val="20"/>
                <w:szCs w:val="20"/>
              </w:rPr>
              <w:t xml:space="preserve">             </w:t>
            </w:r>
            <w:r w:rsidRPr="005644BD">
              <w:rPr>
                <w:i/>
                <w:color w:val="FF0000"/>
                <w:sz w:val="20"/>
                <w:szCs w:val="20"/>
              </w:rPr>
              <w:t>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85C41A" w14:textId="316964BF" w:rsidR="00DF1583" w:rsidRDefault="00DF1583" w:rsidP="009D7D54">
            <w:pPr>
              <w:rPr>
                <w:b/>
              </w:rPr>
            </w:pPr>
            <w:r w:rsidRPr="00DF1583">
              <w:rPr>
                <w:b/>
              </w:rPr>
              <w:t>Délka nově vybudovaného, rekonstruovaného nebo modernizovaného chodníku</w:t>
            </w:r>
            <w:r>
              <w:rPr>
                <w:b/>
              </w:rPr>
              <w:t xml:space="preserve">: </w:t>
            </w:r>
          </w:p>
          <w:p w14:paraId="5D69459F" w14:textId="77777777" w:rsidR="007314F2" w:rsidRDefault="00DF1583" w:rsidP="00755FF3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 xml:space="preserve">Posuzuje se délka chodníku </w:t>
            </w:r>
          </w:p>
          <w:p w14:paraId="785F1080" w14:textId="77777777" w:rsidR="00DF1583" w:rsidRDefault="00DF1583" w:rsidP="00755FF3">
            <w:pPr>
              <w:rPr>
                <w:i/>
                <w:color w:val="FF0000"/>
                <w:sz w:val="20"/>
                <w:szCs w:val="20"/>
              </w:rPr>
            </w:pPr>
          </w:p>
          <w:p w14:paraId="5C86E9C6" w14:textId="0BF6065F" w:rsidR="00DF1583" w:rsidRPr="007314F2" w:rsidRDefault="00DF1583" w:rsidP="00755FF3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5644BD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0D5428C" w14:textId="77777777" w:rsidR="00DF1583" w:rsidRDefault="00DF1583" w:rsidP="00A60342">
            <w:pPr>
              <w:rPr>
                <w:b/>
              </w:rPr>
            </w:pPr>
            <w:r w:rsidRPr="00DF1583">
              <w:rPr>
                <w:b/>
              </w:rPr>
              <w:t xml:space="preserve">Velikost obce/města podle počtu obyvatel, ve kterém je projekt realizován </w:t>
            </w:r>
          </w:p>
          <w:p w14:paraId="693ED943" w14:textId="77777777" w:rsidR="005644BD" w:rsidRDefault="00DF1583" w:rsidP="005644BD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>Posuzuje se počet obyvatel obce, ve které je projekt realizován dle údajů Českého statistického úřadu ke dni 1. 1. 2022</w:t>
            </w:r>
          </w:p>
          <w:p w14:paraId="1D395A29" w14:textId="77777777" w:rsidR="00DF1583" w:rsidRDefault="00DF1583" w:rsidP="005644BD">
            <w:pPr>
              <w:rPr>
                <w:i/>
                <w:color w:val="FF0000"/>
                <w:sz w:val="20"/>
                <w:szCs w:val="20"/>
              </w:rPr>
            </w:pPr>
          </w:p>
          <w:p w14:paraId="667A918A" w14:textId="4F9B8B3C" w:rsidR="00DF1583" w:rsidRPr="00586900" w:rsidRDefault="00DF1583" w:rsidP="005644BD">
            <w:pPr>
              <w:rPr>
                <w:b/>
                <w:sz w:val="20"/>
                <w:szCs w:val="20"/>
              </w:rPr>
            </w:pPr>
          </w:p>
        </w:tc>
      </w:tr>
      <w:tr w:rsidR="005644BD" w:rsidRPr="00586900" w14:paraId="0BE4C4EA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68DB77D" w14:textId="3986F112" w:rsidR="00A60342" w:rsidRPr="007314F2" w:rsidRDefault="00DF1583" w:rsidP="00A60342">
            <w:pPr>
              <w:rPr>
                <w:b/>
                <w:sz w:val="20"/>
                <w:szCs w:val="20"/>
              </w:rPr>
            </w:pPr>
            <w:r w:rsidRPr="00DF1583">
              <w:rPr>
                <w:b/>
              </w:rPr>
              <w:t>Přístup k zastávkám hromadné dopravy</w:t>
            </w:r>
            <w:r w:rsidR="00A60342">
              <w:rPr>
                <w:b/>
              </w:rPr>
              <w:t>:</w:t>
            </w:r>
          </w:p>
          <w:p w14:paraId="0E787B62" w14:textId="77777777" w:rsidR="007314F2" w:rsidRDefault="00DF1583" w:rsidP="005644BD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 xml:space="preserve">Posuzuje se, zda chodník umožnuje přístup k zastávkám hromadné dopravy </w:t>
            </w:r>
          </w:p>
          <w:p w14:paraId="1778AF2B" w14:textId="1B5E5F3E" w:rsidR="00DF1583" w:rsidRPr="00791999" w:rsidRDefault="00DF1583" w:rsidP="005644BD">
            <w:pPr>
              <w:rPr>
                <w:i/>
              </w:rPr>
            </w:pPr>
          </w:p>
        </w:tc>
      </w:tr>
      <w:tr w:rsidR="006B2083" w:rsidRPr="00586900" w14:paraId="2D997127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413F2F5" w14:textId="68B60A71" w:rsidR="00DF1583" w:rsidRDefault="00DF1583" w:rsidP="00A60342">
            <w:pPr>
              <w:rPr>
                <w:b/>
              </w:rPr>
            </w:pPr>
            <w:r w:rsidRPr="00DF1583">
              <w:rPr>
                <w:b/>
              </w:rPr>
              <w:t>Projekt je realizován v místech, kde před realizací projektu není chodník</w:t>
            </w:r>
            <w:r>
              <w:rPr>
                <w:b/>
              </w:rPr>
              <w:t xml:space="preserve">: </w:t>
            </w:r>
          </w:p>
          <w:p w14:paraId="6428D93E" w14:textId="77777777" w:rsidR="00DF1583" w:rsidRDefault="00DF1583" w:rsidP="00A60342">
            <w:pPr>
              <w:rPr>
                <w:i/>
                <w:color w:val="FF0000"/>
                <w:sz w:val="20"/>
                <w:szCs w:val="20"/>
              </w:rPr>
            </w:pPr>
            <w:r w:rsidRPr="00DF1583">
              <w:rPr>
                <w:i/>
                <w:color w:val="FF0000"/>
                <w:sz w:val="20"/>
                <w:szCs w:val="20"/>
              </w:rPr>
              <w:t>Posuzuje se, zda alespoň část (min. 1 m z celkové délky) chodníku je v místě, kde před realizací projektu chodník nebyl.</w:t>
            </w:r>
          </w:p>
          <w:p w14:paraId="31308635" w14:textId="5894EBD9" w:rsidR="00DF1583" w:rsidRPr="00791999" w:rsidRDefault="00DF1583" w:rsidP="00A60342">
            <w:pPr>
              <w:rPr>
                <w:sz w:val="20"/>
                <w:szCs w:val="20"/>
              </w:rPr>
            </w:pPr>
          </w:p>
        </w:tc>
      </w:tr>
    </w:tbl>
    <w:p w14:paraId="6746B6AB" w14:textId="7B8E4409" w:rsidR="00647584" w:rsidRDefault="00647584" w:rsidP="00647584">
      <w:pPr>
        <w:rPr>
          <w:b/>
        </w:rPr>
      </w:pPr>
    </w:p>
    <w:p w14:paraId="1BD50C33" w14:textId="77777777" w:rsidR="007314F2" w:rsidRDefault="007314F2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B5F678A" w14:textId="692223DB" w:rsidR="00991E7D" w:rsidRPr="001C1F58" w:rsidRDefault="00FC33C8" w:rsidP="001569B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C33C8">
              <w:rPr>
                <w:rFonts w:cs="Arial"/>
                <w:b/>
                <w:szCs w:val="20"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613F9DD" w14:textId="1ED67D56" w:rsidR="00991E7D" w:rsidRPr="00586900" w:rsidRDefault="00FC33C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765804F" w14:textId="1265764E" w:rsidR="00991E7D" w:rsidRPr="00586900" w:rsidRDefault="00FC33C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DE1A449" w14:textId="3D0B59F7" w:rsidR="00991E7D" w:rsidRPr="001C1F58" w:rsidRDefault="00FC33C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C33C8">
              <w:rPr>
                <w:rFonts w:cs="Arial"/>
                <w:b/>
                <w:szCs w:val="20"/>
              </w:rPr>
              <w:t>726 011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46863C0" w14:textId="0F6EC1F1" w:rsidR="00991E7D" w:rsidRPr="00586900" w:rsidRDefault="00FC33C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 nehod na km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3C7B7C9" w14:textId="6C0EBB2A" w:rsidR="00991E7D" w:rsidRPr="00586900" w:rsidRDefault="00FC33C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C33C8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EEFFC6C" w:rsidR="00991E7D" w:rsidRPr="00006DA8" w:rsidRDefault="00586900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Pr="00006DA8" w:rsidRDefault="00586900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006DA8" w:rsidRDefault="00586900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D37CD3A" w:rsidR="00991E7D" w:rsidRPr="00006DA8" w:rsidRDefault="00586900" w:rsidP="00755FF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19891" w14:textId="77777777" w:rsidR="00525438" w:rsidRDefault="00525438" w:rsidP="00DC4000">
      <w:pPr>
        <w:spacing w:after="0" w:line="240" w:lineRule="auto"/>
      </w:pPr>
      <w:r>
        <w:separator/>
      </w:r>
    </w:p>
  </w:endnote>
  <w:endnote w:type="continuationSeparator" w:id="0">
    <w:p w14:paraId="62AE4BFB" w14:textId="77777777" w:rsidR="00525438" w:rsidRDefault="0052543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7875FA03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435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52A64" w14:textId="77777777" w:rsidR="00525438" w:rsidRDefault="00525438" w:rsidP="00DC4000">
      <w:pPr>
        <w:spacing w:after="0" w:line="240" w:lineRule="auto"/>
      </w:pPr>
      <w:r>
        <w:separator/>
      </w:r>
    </w:p>
  </w:footnote>
  <w:footnote w:type="continuationSeparator" w:id="0">
    <w:p w14:paraId="4B7A47F7" w14:textId="77777777" w:rsidR="00525438" w:rsidRDefault="0052543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7CC4663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728C1C20">
          <wp:simplePos x="0" y="0"/>
          <wp:positionH relativeFrom="margin">
            <wp:posOffset>-635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CCB12D4" wp14:editId="6A7B5B74">
          <wp:extent cx="2139733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DCF3AC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04" cy="37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5018F"/>
    <w:rsid w:val="00095943"/>
    <w:rsid w:val="00106565"/>
    <w:rsid w:val="001115D4"/>
    <w:rsid w:val="00117535"/>
    <w:rsid w:val="001235EA"/>
    <w:rsid w:val="001569BD"/>
    <w:rsid w:val="00174A6F"/>
    <w:rsid w:val="00195825"/>
    <w:rsid w:val="00211D24"/>
    <w:rsid w:val="00223C06"/>
    <w:rsid w:val="0023690F"/>
    <w:rsid w:val="00236CF7"/>
    <w:rsid w:val="00260C35"/>
    <w:rsid w:val="002749EF"/>
    <w:rsid w:val="002E7863"/>
    <w:rsid w:val="00305610"/>
    <w:rsid w:val="00305A1C"/>
    <w:rsid w:val="00323588"/>
    <w:rsid w:val="00331076"/>
    <w:rsid w:val="00351DDA"/>
    <w:rsid w:val="00357D39"/>
    <w:rsid w:val="003E4E8C"/>
    <w:rsid w:val="00446298"/>
    <w:rsid w:val="00455349"/>
    <w:rsid w:val="00480754"/>
    <w:rsid w:val="004A70A7"/>
    <w:rsid w:val="004E36F2"/>
    <w:rsid w:val="004E4B1D"/>
    <w:rsid w:val="00512073"/>
    <w:rsid w:val="00525438"/>
    <w:rsid w:val="00552CD1"/>
    <w:rsid w:val="005644BD"/>
    <w:rsid w:val="00566AB1"/>
    <w:rsid w:val="00583387"/>
    <w:rsid w:val="00586900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6F7F"/>
    <w:rsid w:val="007314F2"/>
    <w:rsid w:val="0074625F"/>
    <w:rsid w:val="00756F8E"/>
    <w:rsid w:val="00791999"/>
    <w:rsid w:val="007A2964"/>
    <w:rsid w:val="007D1E1A"/>
    <w:rsid w:val="00806654"/>
    <w:rsid w:val="008B7B1D"/>
    <w:rsid w:val="008C6FB6"/>
    <w:rsid w:val="008D2D37"/>
    <w:rsid w:val="0094363F"/>
    <w:rsid w:val="00963100"/>
    <w:rsid w:val="00985397"/>
    <w:rsid w:val="00991E7D"/>
    <w:rsid w:val="009D7D54"/>
    <w:rsid w:val="00A41571"/>
    <w:rsid w:val="00A60342"/>
    <w:rsid w:val="00A8562A"/>
    <w:rsid w:val="00AC004D"/>
    <w:rsid w:val="00B2672F"/>
    <w:rsid w:val="00B51EF3"/>
    <w:rsid w:val="00B879AD"/>
    <w:rsid w:val="00BA3A50"/>
    <w:rsid w:val="00BA5D28"/>
    <w:rsid w:val="00C13769"/>
    <w:rsid w:val="00C3715A"/>
    <w:rsid w:val="00C566ED"/>
    <w:rsid w:val="00C97923"/>
    <w:rsid w:val="00D275CA"/>
    <w:rsid w:val="00D62762"/>
    <w:rsid w:val="00D65CEA"/>
    <w:rsid w:val="00D722D1"/>
    <w:rsid w:val="00DC4000"/>
    <w:rsid w:val="00DF1583"/>
    <w:rsid w:val="00E76B1A"/>
    <w:rsid w:val="00E83D6B"/>
    <w:rsid w:val="00E86148"/>
    <w:rsid w:val="00E95273"/>
    <w:rsid w:val="00EB0435"/>
    <w:rsid w:val="00EE1EE1"/>
    <w:rsid w:val="00EF18AB"/>
    <w:rsid w:val="00F379D1"/>
    <w:rsid w:val="00FC33C8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op@mas-sternbersko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60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Kateřina Černá</cp:lastModifiedBy>
  <cp:revision>7</cp:revision>
  <dcterms:created xsi:type="dcterms:W3CDTF">2023-05-04T12:00:00Z</dcterms:created>
  <dcterms:modified xsi:type="dcterms:W3CDTF">2023-05-15T10:10:00Z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