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0EA3360" w:rsidR="00211D24" w:rsidRPr="00EB18AC" w:rsidRDefault="00A03F86" w:rsidP="00211D2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Výzva č. </w:t>
      </w:r>
      <w:r w:rsidR="00432581">
        <w:rPr>
          <w:rFonts w:ascii="Calibri" w:hAnsi="Calibri" w:cs="Calibri"/>
          <w:b/>
          <w:sz w:val="28"/>
          <w:szCs w:val="28"/>
        </w:rPr>
        <w:t>12</w:t>
      </w:r>
      <w:r w:rsidR="00211D24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4C086DAB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095943">
        <w:rPr>
          <w:rFonts w:ascii="Calibri" w:hAnsi="Calibri" w:cs="Calibri"/>
          <w:b/>
          <w:smallCaps/>
          <w:sz w:val="28"/>
          <w:szCs w:val="28"/>
        </w:rPr>
        <w:t>ŠTERNBERSKO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DC6785">
        <w:rPr>
          <w:rFonts w:ascii="Calibri" w:hAnsi="Calibri" w:cs="Calibri"/>
          <w:b/>
          <w:smallCaps/>
          <w:sz w:val="28"/>
          <w:szCs w:val="28"/>
        </w:rPr>
        <w:t>KULTURNÍ DĚDICTVÍ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ADB6877" w:rsidR="00211D24" w:rsidRPr="00DC6785" w:rsidRDefault="0072105A" w:rsidP="00DC6785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DC6785" w:rsidRPr="00DC6785">
        <w:rPr>
          <w:rFonts w:ascii="Calibri" w:hAnsi="Calibri" w:cs="Calibri"/>
          <w:b/>
          <w:smallCaps/>
          <w:sz w:val="28"/>
          <w:szCs w:val="28"/>
        </w:rPr>
        <w:t>70. výzva IROP - Kultura - památky a muzea - SC 5.1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7D55843" w:rsidR="00211D24" w:rsidRDefault="00211D24" w:rsidP="00211D24">
      <w:pPr>
        <w:jc w:val="both"/>
      </w:pPr>
      <w:r>
        <w:t xml:space="preserve">V rámci MAS bude nejprve ze strany kanceláře MAS </w:t>
      </w:r>
      <w:r w:rsidR="00095943">
        <w:t>Šternbersko</w:t>
      </w:r>
      <w:r>
        <w:t xml:space="preserve"> provedena administrativní kontrola. Věcné hodnocení záměrů provádí Výběrová komise MAS </w:t>
      </w:r>
      <w:r w:rsidR="00095943">
        <w:t>Šternbersko</w:t>
      </w:r>
      <w:r>
        <w:t xml:space="preserve"> jakožto výběrový orgán. Programový výbor MAS </w:t>
      </w:r>
      <w:r w:rsidR="00095943">
        <w:t>Šternbersko</w:t>
      </w:r>
      <w:r>
        <w:t xml:space="preserve"> jakožto </w:t>
      </w:r>
      <w:r w:rsidR="008B7B1D">
        <w:t xml:space="preserve">rozhodovací </w:t>
      </w:r>
      <w:r>
        <w:t xml:space="preserve">orgán vybírá záměry, kterým bude vydáno Vyjádření o souladu se SCLLD MAS </w:t>
      </w:r>
      <w:r w:rsidR="00095943">
        <w:t>Šternbersko</w:t>
      </w:r>
      <w:r>
        <w:t>. Toto vyjádření je povinnou součástí žádosti o podporu, kterou nositelé vybraných záměrů následně zpracují v MS21+.</w:t>
      </w:r>
    </w:p>
    <w:p w14:paraId="7A5EAD6D" w14:textId="23EF1EB9" w:rsidR="00211D24" w:rsidRPr="00A03F86" w:rsidRDefault="00211D24" w:rsidP="00A03F86">
      <w:pPr>
        <w:jc w:val="both"/>
      </w:pPr>
      <w:r>
        <w:t>Postup hodnocení záměrů je uveden v</w:t>
      </w:r>
      <w:r w:rsidR="00095943">
        <w:t> interních postupech</w:t>
      </w:r>
      <w:r>
        <w:t xml:space="preserve"> MAS </w:t>
      </w:r>
      <w:r w:rsidR="00095943">
        <w:t xml:space="preserve">Šternbersko, které jsou zveřejněny na: </w:t>
      </w:r>
      <w:r>
        <w:t xml:space="preserve"> </w:t>
      </w:r>
      <w:r w:rsidR="00A03F86" w:rsidRPr="00A03F86">
        <w:t>https://www.mas-sternbersko.cz/vyzvy-mas/irop/</w:t>
      </w:r>
    </w:p>
    <w:p w14:paraId="7A0D1AD6" w14:textId="0B83C13A" w:rsidR="00211D24" w:rsidRDefault="00211D24" w:rsidP="00211D24">
      <w:pPr>
        <w:jc w:val="both"/>
      </w:pPr>
      <w:r>
        <w:t xml:space="preserve">Po výběru projektových záměrů ze strany MAS následuje podání </w:t>
      </w:r>
      <w:r w:rsidR="00A03F86">
        <w:t>žádosti o podporu do výzvy č. 70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26F3E37A" w:rsidR="00211D24" w:rsidRDefault="00211D24" w:rsidP="00211D24">
      <w:pPr>
        <w:jc w:val="both"/>
      </w:pPr>
      <w:r>
        <w:t>Věcná způsobilost je definována v Obecných a Specifických pravidlech pro</w:t>
      </w:r>
      <w:r w:rsidR="00F11F88">
        <w:t xml:space="preserve"> žadatele a příjemce výzvy č. 70</w:t>
      </w:r>
      <w:r>
        <w:t xml:space="preserve"> IROP (vždy v aktuálním znění).</w:t>
      </w:r>
    </w:p>
    <w:p w14:paraId="2C5650A1" w14:textId="0045FDAC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DC6785" w:rsidRPr="0048253B">
          <w:rPr>
            <w:rStyle w:val="Hypertextovodkaz"/>
          </w:rPr>
          <w:t>https://irop.mmr.cz/cs/vyzvy-2021-2027/vyzvy/70vyzvairop</w:t>
        </w:r>
      </w:hyperlink>
      <w:r w:rsidR="00DC6785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363B0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(osoby) jednajících jménem žadatele (nebo osob zmocněných na základě plné moci) a relevantní přílohy je nutné zaslat na e-mail: </w:t>
      </w:r>
      <w:hyperlink r:id="rId11" w:history="1">
        <w:r w:rsidR="00B51EF3" w:rsidRPr="00867165">
          <w:rPr>
            <w:rStyle w:val="Hypertextovodkaz"/>
            <w:b/>
            <w:bCs/>
          </w:rPr>
          <w:t>irop@mas-sternbersko.cz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70AF7F3" w:rsidR="006E6251" w:rsidRPr="00331076" w:rsidRDefault="00331076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5644BD">
              <w:rPr>
                <w:rFonts w:cs="Arial"/>
                <w:b/>
                <w:sz w:val="20"/>
                <w:szCs w:val="20"/>
              </w:rPr>
              <w:t>Šternbersko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BA0B578" w:rsidR="006E6251" w:rsidRPr="00331076" w:rsidRDefault="00DC6785" w:rsidP="00F728E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C6785">
              <w:rPr>
                <w:sz w:val="20"/>
                <w:szCs w:val="20"/>
              </w:rPr>
              <w:t>1.8.1. Podpora obnovy a rekonstrukce jednotlivých památek, podpora kulturních aktivit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83B997" w:rsidR="006E6251" w:rsidRPr="005F5A86" w:rsidRDefault="006E6251" w:rsidP="005F5A86">
            <w:pPr>
              <w:spacing w:after="0" w:line="240" w:lineRule="auto"/>
              <w:rPr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DC6785" w:rsidRPr="00DC6785">
              <w:rPr>
                <w:sz w:val="20"/>
                <w:szCs w:val="20"/>
              </w:rPr>
              <w:t>70. výzva IROP - Kultura - památky a muzea - SC 5.1 (CLLD)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758A0F15" w:rsidR="006E6251" w:rsidRPr="00331076" w:rsidRDefault="006E6251" w:rsidP="005F5A8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DC6785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432581">
              <w:rPr>
                <w:rFonts w:cs="Arial"/>
                <w:bCs/>
                <w:sz w:val="20"/>
                <w:szCs w:val="20"/>
              </w:rPr>
              <w:t>12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5644BD">
              <w:rPr>
                <w:rFonts w:cs="Arial"/>
                <w:bCs/>
                <w:sz w:val="20"/>
                <w:szCs w:val="20"/>
              </w:rPr>
              <w:t>Šternbersko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DC6785">
              <w:rPr>
                <w:rFonts w:cs="Arial"/>
                <w:bCs/>
                <w:sz w:val="20"/>
                <w:szCs w:val="20"/>
              </w:rPr>
              <w:t>Kulturní dědictví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BF9AA93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 Váš projekt a podporované aktivity. A</w:t>
            </w:r>
            <w:r w:rsidR="00F728E1">
              <w:rPr>
                <w:i/>
                <w:color w:val="FF0000"/>
                <w:sz w:val="20"/>
                <w:szCs w:val="20"/>
              </w:rPr>
              <w:t xml:space="preserve">ktivity musí být v souladu se </w:t>
            </w:r>
            <w:r w:rsidR="00DC6785" w:rsidRPr="00DC6785">
              <w:rPr>
                <w:i/>
                <w:color w:val="FF0000"/>
                <w:sz w:val="20"/>
                <w:szCs w:val="20"/>
              </w:rPr>
              <w:t>70. výzv</w:t>
            </w:r>
            <w:r w:rsidR="00DC6785">
              <w:rPr>
                <w:i/>
                <w:color w:val="FF0000"/>
                <w:sz w:val="20"/>
                <w:szCs w:val="20"/>
              </w:rPr>
              <w:t>ou</w:t>
            </w:r>
            <w:r w:rsidR="00DC6785" w:rsidRPr="00DC6785">
              <w:rPr>
                <w:i/>
                <w:color w:val="FF0000"/>
                <w:sz w:val="20"/>
                <w:szCs w:val="20"/>
              </w:rPr>
              <w:t xml:space="preserve"> IROP - Kultura - památky a muzea - SC 5.1 (CLLD)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1077C504" w:rsidR="006032DC" w:rsidRPr="006032DC" w:rsidRDefault="006032DC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Počet obyvatel obce, kde je projekt realizován (údaj </w:t>
            </w:r>
            <w:r w:rsidR="00F11F88">
              <w:rPr>
                <w:b/>
                <w:bCs/>
                <w:sz w:val="20"/>
                <w:szCs w:val="20"/>
              </w:rPr>
              <w:t>k 1. 1. 202</w:t>
            </w:r>
            <w:r w:rsidR="00080030">
              <w:rPr>
                <w:b/>
                <w:bCs/>
                <w:sz w:val="20"/>
                <w:szCs w:val="20"/>
              </w:rPr>
              <w:t>4</w:t>
            </w:r>
            <w:r w:rsidRPr="006D045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Pr="005644BD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9B95E2E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5644BD">
              <w:rPr>
                <w:i/>
                <w:color w:val="FF0000"/>
                <w:sz w:val="20"/>
                <w:szCs w:val="20"/>
              </w:rPr>
              <w:t>Šternbersko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8FF56C9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FC939F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7314F2">
              <w:rPr>
                <w:i/>
                <w:color w:val="FF0000"/>
                <w:sz w:val="20"/>
                <w:szCs w:val="20"/>
              </w:rPr>
              <w:t xml:space="preserve">             </w:t>
            </w:r>
            <w:r w:rsidRPr="005644BD">
              <w:rPr>
                <w:i/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162AF" w14:textId="13E7B66D" w:rsidR="005644BD" w:rsidRDefault="0075281E" w:rsidP="00F728E1">
            <w:pPr>
              <w:rPr>
                <w:i/>
                <w:color w:val="FF0000"/>
                <w:sz w:val="20"/>
                <w:szCs w:val="20"/>
              </w:rPr>
            </w:pPr>
            <w:r w:rsidRPr="0075281E">
              <w:rPr>
                <w:b/>
              </w:rPr>
              <w:t>Úprava/zvelebení exteriéru kulturní památky</w:t>
            </w:r>
            <w:r>
              <w:rPr>
                <w:b/>
              </w:rPr>
              <w:t>:</w:t>
            </w:r>
            <w:r w:rsidR="005644BD" w:rsidRPr="007314F2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75281E">
              <w:rPr>
                <w:i/>
                <w:color w:val="FF0000"/>
                <w:sz w:val="20"/>
                <w:szCs w:val="20"/>
              </w:rPr>
              <w:t>Posuzuje se, zda realizací projektu dojde k úpravám  na vnější straně, respektive ve viditelném exteriéru kulturní památky.</w:t>
            </w:r>
          </w:p>
          <w:p w14:paraId="5C86E9C6" w14:textId="5B8B4420" w:rsidR="007314F2" w:rsidRPr="007314F2" w:rsidRDefault="007314F2" w:rsidP="00755FF3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5644BD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10F0878" w14:textId="6243A7D6" w:rsidR="005644BD" w:rsidRDefault="0075281E" w:rsidP="005644BD">
            <w:pPr>
              <w:rPr>
                <w:b/>
              </w:rPr>
            </w:pPr>
            <w:r>
              <w:rPr>
                <w:b/>
              </w:rPr>
              <w:t>Velikost obce</w:t>
            </w:r>
            <w:r w:rsidR="005644BD">
              <w:rPr>
                <w:b/>
              </w:rPr>
              <w:t>:</w:t>
            </w:r>
            <w:r w:rsidR="00791999">
              <w:rPr>
                <w:b/>
              </w:rPr>
              <w:t xml:space="preserve"> </w:t>
            </w:r>
          </w:p>
          <w:p w14:paraId="16194909" w14:textId="3D54CA4E" w:rsidR="00791999" w:rsidRPr="007314F2" w:rsidRDefault="00F728E1" w:rsidP="005644BD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Posuzuje se</w:t>
            </w:r>
            <w:r w:rsidR="0075281E">
              <w:rPr>
                <w:i/>
                <w:color w:val="FF0000"/>
                <w:sz w:val="20"/>
                <w:szCs w:val="20"/>
              </w:rPr>
              <w:t xml:space="preserve"> počet obyvatel k 1. 1. 202</w:t>
            </w:r>
            <w:r w:rsidR="00080030">
              <w:rPr>
                <w:i/>
                <w:color w:val="FF0000"/>
                <w:sz w:val="20"/>
                <w:szCs w:val="20"/>
              </w:rPr>
              <w:t>4</w:t>
            </w:r>
          </w:p>
          <w:p w14:paraId="667A918A" w14:textId="3A9AD5F6" w:rsidR="005644BD" w:rsidRPr="00586900" w:rsidRDefault="005644BD" w:rsidP="005644BD">
            <w:pPr>
              <w:rPr>
                <w:b/>
                <w:sz w:val="20"/>
                <w:szCs w:val="20"/>
              </w:rPr>
            </w:pPr>
          </w:p>
        </w:tc>
      </w:tr>
      <w:tr w:rsidR="005644BD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E842ECB" w14:textId="67576499" w:rsidR="005644BD" w:rsidRPr="007314F2" w:rsidRDefault="00F728E1" w:rsidP="005644BD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Dokumentace a povolení</w:t>
            </w:r>
            <w:r w:rsidR="005644BD">
              <w:rPr>
                <w:b/>
              </w:rPr>
              <w:t>:</w:t>
            </w:r>
          </w:p>
          <w:p w14:paraId="21F31A9B" w14:textId="1E3F3CE5" w:rsidR="00791999" w:rsidRDefault="00F728E1" w:rsidP="005644BD">
            <w:pPr>
              <w:rPr>
                <w:i/>
                <w:color w:val="FF0000"/>
              </w:rPr>
            </w:pPr>
            <w:r>
              <w:rPr>
                <w:i/>
                <w:color w:val="FF0000"/>
                <w:sz w:val="20"/>
                <w:szCs w:val="20"/>
              </w:rPr>
              <w:t>Ověřuje se, v jaké fázi rozpracovanosti se projektový záměry nachází</w:t>
            </w:r>
            <w:r w:rsidR="00791999" w:rsidRPr="00791999">
              <w:rPr>
                <w:i/>
                <w:color w:val="FF0000"/>
              </w:rPr>
              <w:t>.</w:t>
            </w:r>
          </w:p>
          <w:p w14:paraId="1778AF2B" w14:textId="3B575F63" w:rsidR="007314F2" w:rsidRPr="00791999" w:rsidRDefault="007314F2" w:rsidP="005644BD">
            <w:pPr>
              <w:rPr>
                <w:i/>
              </w:rPr>
            </w:pPr>
          </w:p>
        </w:tc>
      </w:tr>
    </w:tbl>
    <w:p w14:paraId="6746B6AB" w14:textId="7B8E4409" w:rsidR="00647584" w:rsidRDefault="00647584" w:rsidP="00647584">
      <w:pPr>
        <w:rPr>
          <w:b/>
        </w:rPr>
      </w:pPr>
    </w:p>
    <w:p w14:paraId="1BD50C33" w14:textId="3E29D420" w:rsidR="007314F2" w:rsidRDefault="007314F2" w:rsidP="00647584">
      <w:pPr>
        <w:rPr>
          <w:b/>
        </w:rPr>
      </w:pPr>
    </w:p>
    <w:p w14:paraId="65BBAF75" w14:textId="066DA608" w:rsidR="00F11F88" w:rsidRDefault="00F11F88" w:rsidP="00647584">
      <w:pPr>
        <w:rPr>
          <w:b/>
        </w:rPr>
      </w:pPr>
    </w:p>
    <w:p w14:paraId="37872D44" w14:textId="0649895A" w:rsidR="00F11F88" w:rsidRDefault="00F11F88" w:rsidP="00647584">
      <w:pPr>
        <w:rPr>
          <w:b/>
        </w:rPr>
      </w:pPr>
    </w:p>
    <w:p w14:paraId="4E27068E" w14:textId="77777777" w:rsidR="00F11F88" w:rsidRDefault="00F11F88" w:rsidP="00647584">
      <w:pPr>
        <w:rPr>
          <w:b/>
        </w:rPr>
      </w:pPr>
    </w:p>
    <w:p w14:paraId="1ACA049A" w14:textId="12F2E60E" w:rsidR="00991E7D" w:rsidRDefault="00991E7D" w:rsidP="00647584">
      <w:pPr>
        <w:rPr>
          <w:b/>
        </w:rPr>
      </w:pPr>
      <w:r>
        <w:rPr>
          <w:b/>
        </w:rPr>
        <w:t>Indikátory projektu:</w:t>
      </w:r>
      <w:r w:rsidR="00F728E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3"/>
        <w:gridCol w:w="3239"/>
        <w:gridCol w:w="1483"/>
        <w:gridCol w:w="1374"/>
        <w:gridCol w:w="1253"/>
      </w:tblGrid>
      <w:tr w:rsidR="00991E7D" w:rsidRPr="00D62762" w14:paraId="52964EF1" w14:textId="77777777" w:rsidTr="00B84157">
        <w:trPr>
          <w:trHeight w:val="885"/>
          <w:jc w:val="center"/>
        </w:trPr>
        <w:tc>
          <w:tcPr>
            <w:tcW w:w="1693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39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83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74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53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84157">
        <w:trPr>
          <w:trHeight w:val="255"/>
          <w:jc w:val="center"/>
        </w:trPr>
        <w:tc>
          <w:tcPr>
            <w:tcW w:w="1693" w:type="dxa"/>
            <w:noWrap/>
            <w:vAlign w:val="center"/>
            <w:hideMark/>
          </w:tcPr>
          <w:p w14:paraId="6B5F678A" w14:textId="6EB7D3F4" w:rsidR="00991E7D" w:rsidRPr="001C1F58" w:rsidRDefault="00B8415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910052</w:t>
            </w:r>
          </w:p>
        </w:tc>
        <w:tc>
          <w:tcPr>
            <w:tcW w:w="3239" w:type="dxa"/>
            <w:noWrap/>
            <w:vAlign w:val="center"/>
            <w:hideMark/>
          </w:tcPr>
          <w:p w14:paraId="4613F9DD" w14:textId="4A03EB10" w:rsidR="00991E7D" w:rsidRPr="00586900" w:rsidRDefault="00B8415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návštěvníků podpořených lokalit v oblasti kultury a cestovního ruchu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noWrap/>
            <w:vAlign w:val="center"/>
            <w:hideMark/>
          </w:tcPr>
          <w:p w14:paraId="0765804F" w14:textId="2F773C0C" w:rsidR="00991E7D" w:rsidRPr="00586900" w:rsidRDefault="00F11F8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</w:t>
            </w:r>
            <w:r w:rsidR="00B84157">
              <w:rPr>
                <w:rFonts w:cs="Arial"/>
                <w:bCs/>
                <w:sz w:val="20"/>
                <w:szCs w:val="20"/>
              </w:rPr>
              <w:t>ávštěvníci/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84157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1374" w:type="dxa"/>
            <w:noWrap/>
            <w:vAlign w:val="center"/>
            <w:hideMark/>
          </w:tcPr>
          <w:p w14:paraId="5BF81530" w14:textId="507932DD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3" w:type="dxa"/>
            <w:noWrap/>
            <w:vAlign w:val="center"/>
            <w:hideMark/>
          </w:tcPr>
          <w:p w14:paraId="5751BF02" w14:textId="45C94A3C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0E3CEE61" w14:textId="77777777" w:rsidTr="00B84157">
        <w:trPr>
          <w:trHeight w:val="255"/>
          <w:jc w:val="center"/>
        </w:trPr>
        <w:tc>
          <w:tcPr>
            <w:tcW w:w="1693" w:type="dxa"/>
            <w:noWrap/>
            <w:vAlign w:val="center"/>
            <w:hideMark/>
          </w:tcPr>
          <w:p w14:paraId="4DE1A449" w14:textId="5903B376" w:rsidR="00AE235F" w:rsidRPr="001C1F58" w:rsidRDefault="00B84157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908021</w:t>
            </w:r>
          </w:p>
        </w:tc>
        <w:tc>
          <w:tcPr>
            <w:tcW w:w="3239" w:type="dxa"/>
            <w:noWrap/>
            <w:vAlign w:val="center"/>
            <w:hideMark/>
          </w:tcPr>
          <w:p w14:paraId="646863C0" w14:textId="30761956" w:rsidR="00AE235F" w:rsidRPr="00586900" w:rsidRDefault="00AE235F" w:rsidP="00B8415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</w:t>
            </w:r>
            <w:r w:rsidR="00B84157">
              <w:rPr>
                <w:rFonts w:cs="Arial"/>
                <w:bCs/>
                <w:sz w:val="20"/>
                <w:szCs w:val="20"/>
              </w:rPr>
              <w:t>revitalizovaných památkových objektů</w:t>
            </w:r>
          </w:p>
        </w:tc>
        <w:tc>
          <w:tcPr>
            <w:tcW w:w="1483" w:type="dxa"/>
            <w:noWrap/>
            <w:vAlign w:val="center"/>
            <w:hideMark/>
          </w:tcPr>
          <w:p w14:paraId="13C7B7C9" w14:textId="1AECBB66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B84157"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74" w:type="dxa"/>
            <w:noWrap/>
            <w:vAlign w:val="center"/>
            <w:hideMark/>
          </w:tcPr>
          <w:p w14:paraId="6FE2573C" w14:textId="5631BEF4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3" w:type="dxa"/>
            <w:noWrap/>
            <w:vAlign w:val="center"/>
            <w:hideMark/>
          </w:tcPr>
          <w:p w14:paraId="593981FF" w14:textId="4D778AB4" w:rsidR="00AE235F" w:rsidRPr="00006DA8" w:rsidRDefault="00AE235F" w:rsidP="00AE235F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29973567" w14:textId="77777777" w:rsidTr="00B84157">
        <w:trPr>
          <w:trHeight w:val="270"/>
          <w:jc w:val="center"/>
        </w:trPr>
        <w:tc>
          <w:tcPr>
            <w:tcW w:w="1693" w:type="dxa"/>
            <w:noWrap/>
            <w:vAlign w:val="center"/>
            <w:hideMark/>
          </w:tcPr>
          <w:p w14:paraId="1DFA293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39" w:type="dxa"/>
            <w:noWrap/>
            <w:vAlign w:val="center"/>
            <w:hideMark/>
          </w:tcPr>
          <w:p w14:paraId="210CA7A8" w14:textId="2EEFFC6C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83" w:type="dxa"/>
            <w:noWrap/>
            <w:vAlign w:val="center"/>
            <w:hideMark/>
          </w:tcPr>
          <w:p w14:paraId="7D88AF18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noWrap/>
            <w:vAlign w:val="center"/>
            <w:hideMark/>
          </w:tcPr>
          <w:p w14:paraId="7FB22E77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vAlign w:val="center"/>
            <w:hideMark/>
          </w:tcPr>
          <w:p w14:paraId="71AD8A1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E235F" w:rsidRPr="001C1F58" w14:paraId="280F6C84" w14:textId="77777777" w:rsidTr="00B84157">
        <w:trPr>
          <w:trHeight w:val="270"/>
          <w:jc w:val="center"/>
        </w:trPr>
        <w:tc>
          <w:tcPr>
            <w:tcW w:w="1693" w:type="dxa"/>
            <w:noWrap/>
            <w:vAlign w:val="center"/>
          </w:tcPr>
          <w:p w14:paraId="0ADC914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39" w:type="dxa"/>
            <w:noWrap/>
            <w:vAlign w:val="center"/>
          </w:tcPr>
          <w:p w14:paraId="12D7F516" w14:textId="77777777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noWrap/>
            <w:vAlign w:val="center"/>
          </w:tcPr>
          <w:p w14:paraId="16C54B84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74" w:type="dxa"/>
            <w:noWrap/>
            <w:vAlign w:val="center"/>
          </w:tcPr>
          <w:p w14:paraId="29EEC5E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3" w:type="dxa"/>
            <w:noWrap/>
            <w:vAlign w:val="center"/>
          </w:tcPr>
          <w:p w14:paraId="482AABD9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006DA8" w:rsidRDefault="00586900" w:rsidP="00755FF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8AE7" w14:textId="77777777" w:rsidR="00382BF9" w:rsidRDefault="00382BF9" w:rsidP="00DC4000">
      <w:pPr>
        <w:spacing w:after="0" w:line="240" w:lineRule="auto"/>
      </w:pPr>
      <w:r>
        <w:separator/>
      </w:r>
    </w:p>
  </w:endnote>
  <w:endnote w:type="continuationSeparator" w:id="0">
    <w:p w14:paraId="1E3DEC29" w14:textId="77777777" w:rsidR="00382BF9" w:rsidRDefault="00382BF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3E3FDC3C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86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38FB" w14:textId="77777777" w:rsidR="00382BF9" w:rsidRDefault="00382BF9" w:rsidP="00DC4000">
      <w:pPr>
        <w:spacing w:after="0" w:line="240" w:lineRule="auto"/>
      </w:pPr>
      <w:r>
        <w:separator/>
      </w:r>
    </w:p>
  </w:footnote>
  <w:footnote w:type="continuationSeparator" w:id="0">
    <w:p w14:paraId="570FF100" w14:textId="77777777" w:rsidR="00382BF9" w:rsidRDefault="00382BF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7CC4663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728C1C20">
          <wp:simplePos x="0" y="0"/>
          <wp:positionH relativeFrom="margin">
            <wp:posOffset>-635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CCB12D4" wp14:editId="6A7B5B74">
          <wp:extent cx="2139733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DCF3A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04" cy="3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00623">
    <w:abstractNumId w:val="0"/>
  </w:num>
  <w:num w:numId="2" w16cid:durableId="64435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DA8"/>
    <w:rsid w:val="0005018F"/>
    <w:rsid w:val="00080030"/>
    <w:rsid w:val="00091372"/>
    <w:rsid w:val="00095943"/>
    <w:rsid w:val="00106565"/>
    <w:rsid w:val="001115D4"/>
    <w:rsid w:val="00117535"/>
    <w:rsid w:val="001235EA"/>
    <w:rsid w:val="00174A6F"/>
    <w:rsid w:val="00211D24"/>
    <w:rsid w:val="00223C06"/>
    <w:rsid w:val="0023690F"/>
    <w:rsid w:val="00236CF7"/>
    <w:rsid w:val="00260C35"/>
    <w:rsid w:val="002749EF"/>
    <w:rsid w:val="002E7863"/>
    <w:rsid w:val="00305610"/>
    <w:rsid w:val="00305A1C"/>
    <w:rsid w:val="00323588"/>
    <w:rsid w:val="00331076"/>
    <w:rsid w:val="00351DDA"/>
    <w:rsid w:val="00382BF9"/>
    <w:rsid w:val="003E4E8C"/>
    <w:rsid w:val="00432581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5F5A86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105A"/>
    <w:rsid w:val="00726F7F"/>
    <w:rsid w:val="007314F2"/>
    <w:rsid w:val="0074625F"/>
    <w:rsid w:val="0075281E"/>
    <w:rsid w:val="00756F8E"/>
    <w:rsid w:val="00791999"/>
    <w:rsid w:val="007A2964"/>
    <w:rsid w:val="007D1E1A"/>
    <w:rsid w:val="00806654"/>
    <w:rsid w:val="008B7B1D"/>
    <w:rsid w:val="008C6FB6"/>
    <w:rsid w:val="008D2D37"/>
    <w:rsid w:val="0094363F"/>
    <w:rsid w:val="00985397"/>
    <w:rsid w:val="00991E7D"/>
    <w:rsid w:val="00A03F86"/>
    <w:rsid w:val="00A41571"/>
    <w:rsid w:val="00AC004D"/>
    <w:rsid w:val="00AE235F"/>
    <w:rsid w:val="00AE4661"/>
    <w:rsid w:val="00B009A3"/>
    <w:rsid w:val="00B2672F"/>
    <w:rsid w:val="00B51EF3"/>
    <w:rsid w:val="00B84157"/>
    <w:rsid w:val="00BA3A50"/>
    <w:rsid w:val="00BA5D28"/>
    <w:rsid w:val="00C13769"/>
    <w:rsid w:val="00C54DA3"/>
    <w:rsid w:val="00C566ED"/>
    <w:rsid w:val="00C97923"/>
    <w:rsid w:val="00D275CA"/>
    <w:rsid w:val="00D62762"/>
    <w:rsid w:val="00D65CEA"/>
    <w:rsid w:val="00D66093"/>
    <w:rsid w:val="00D722D1"/>
    <w:rsid w:val="00DC4000"/>
    <w:rsid w:val="00DC6785"/>
    <w:rsid w:val="00E76B1A"/>
    <w:rsid w:val="00E83D6B"/>
    <w:rsid w:val="00E86148"/>
    <w:rsid w:val="00E95273"/>
    <w:rsid w:val="00EE1EE1"/>
    <w:rsid w:val="00EF18AB"/>
    <w:rsid w:val="00F11F88"/>
    <w:rsid w:val="00F379D1"/>
    <w:rsid w:val="00F46A20"/>
    <w:rsid w:val="00F728E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mas-sternbersko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70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c9be213-8e18-4302-b1c9-f65a009e644e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Kateřina Černá</cp:lastModifiedBy>
  <cp:revision>5</cp:revision>
  <dcterms:created xsi:type="dcterms:W3CDTF">2023-09-29T13:37:00Z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